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04" w:rsidRDefault="00426504" w:rsidP="00426504">
      <w:pPr>
        <w:pStyle w:val="Default"/>
      </w:pPr>
    </w:p>
    <w:p w:rsidR="00426504" w:rsidRDefault="00426504" w:rsidP="00426504">
      <w:pPr>
        <w:pStyle w:val="Default"/>
        <w:jc w:val="center"/>
        <w:rPr>
          <w:b/>
          <w:bCs/>
          <w:sz w:val="23"/>
          <w:szCs w:val="23"/>
        </w:rPr>
      </w:pPr>
      <w:r>
        <w:t xml:space="preserve"> </w:t>
      </w:r>
      <w:r>
        <w:rPr>
          <w:b/>
          <w:bCs/>
          <w:sz w:val="23"/>
          <w:szCs w:val="23"/>
        </w:rPr>
        <w:t>PUBLIC SERVICES REFORM (</w:t>
      </w:r>
      <w:smartTag w:uri="urn:schemas-microsoft-com:office:smarttags" w:element="place">
        <w:smartTag w:uri="urn:schemas-microsoft-com:office:smarttags" w:element="country-region">
          <w:r>
            <w:rPr>
              <w:b/>
              <w:bCs/>
              <w:sz w:val="23"/>
              <w:szCs w:val="23"/>
            </w:rPr>
            <w:t>SCOTLAND</w:t>
          </w:r>
        </w:smartTag>
      </w:smartTag>
      <w:r>
        <w:rPr>
          <w:b/>
          <w:bCs/>
          <w:sz w:val="23"/>
          <w:szCs w:val="23"/>
        </w:rPr>
        <w:t xml:space="preserve">) ACT 2010 </w:t>
      </w:r>
    </w:p>
    <w:p w:rsidR="00426504" w:rsidRDefault="00426504" w:rsidP="00426504">
      <w:pPr>
        <w:pStyle w:val="Default"/>
        <w:jc w:val="center"/>
        <w:rPr>
          <w:sz w:val="23"/>
          <w:szCs w:val="23"/>
        </w:rPr>
      </w:pPr>
    </w:p>
    <w:p w:rsidR="00426504" w:rsidRDefault="00426504" w:rsidP="00426504">
      <w:pPr>
        <w:jc w:val="center"/>
      </w:pPr>
      <w:r>
        <w:rPr>
          <w:b/>
          <w:bCs/>
          <w:sz w:val="23"/>
          <w:szCs w:val="23"/>
        </w:rPr>
        <w:t xml:space="preserve">STATEMENT FOR THE </w:t>
      </w:r>
      <w:r w:rsidR="006F35D2">
        <w:rPr>
          <w:b/>
          <w:bCs/>
          <w:sz w:val="23"/>
          <w:szCs w:val="23"/>
        </w:rPr>
        <w:t>PERIOD FROM 1</w:t>
      </w:r>
      <w:r w:rsidR="006D20A2">
        <w:rPr>
          <w:b/>
          <w:bCs/>
          <w:sz w:val="23"/>
          <w:szCs w:val="23"/>
          <w:vertAlign w:val="superscript"/>
        </w:rPr>
        <w:t xml:space="preserve">st </w:t>
      </w:r>
      <w:r w:rsidR="006D20A2">
        <w:rPr>
          <w:b/>
          <w:bCs/>
          <w:sz w:val="23"/>
          <w:szCs w:val="23"/>
        </w:rPr>
        <w:t>APRIL 201</w:t>
      </w:r>
      <w:r w:rsidR="00017FFC">
        <w:rPr>
          <w:b/>
          <w:bCs/>
          <w:sz w:val="23"/>
          <w:szCs w:val="23"/>
        </w:rPr>
        <w:t>2</w:t>
      </w:r>
      <w:r w:rsidR="006F35D2">
        <w:rPr>
          <w:b/>
          <w:bCs/>
          <w:sz w:val="23"/>
          <w:szCs w:val="23"/>
        </w:rPr>
        <w:t xml:space="preserve"> TO </w:t>
      </w:r>
      <w:r w:rsidR="00FD0DE1">
        <w:rPr>
          <w:b/>
          <w:bCs/>
          <w:sz w:val="23"/>
          <w:szCs w:val="23"/>
        </w:rPr>
        <w:t>31</w:t>
      </w:r>
      <w:r w:rsidR="00FD0DE1" w:rsidRPr="006F35D2">
        <w:rPr>
          <w:b/>
          <w:bCs/>
          <w:sz w:val="23"/>
          <w:szCs w:val="23"/>
          <w:vertAlign w:val="superscript"/>
        </w:rPr>
        <w:t>st</w:t>
      </w:r>
      <w:r w:rsidR="00FD0DE1">
        <w:rPr>
          <w:b/>
          <w:bCs/>
          <w:sz w:val="23"/>
          <w:szCs w:val="23"/>
        </w:rPr>
        <w:t xml:space="preserve"> MARCH</w:t>
      </w:r>
      <w:r>
        <w:rPr>
          <w:b/>
          <w:bCs/>
          <w:sz w:val="23"/>
          <w:szCs w:val="23"/>
        </w:rPr>
        <w:t xml:space="preserve"> 201</w:t>
      </w:r>
      <w:r w:rsidR="00017FFC">
        <w:rPr>
          <w:b/>
          <w:bCs/>
          <w:sz w:val="23"/>
          <w:szCs w:val="23"/>
        </w:rPr>
        <w:t>3</w:t>
      </w:r>
    </w:p>
    <w:p w:rsidR="00426504" w:rsidRPr="00426504" w:rsidRDefault="00426504" w:rsidP="00426504">
      <w:pPr>
        <w:autoSpaceDE w:val="0"/>
        <w:autoSpaceDN w:val="0"/>
        <w:adjustRightInd w:val="0"/>
        <w:rPr>
          <w:color w:val="000000"/>
        </w:rPr>
      </w:pPr>
    </w:p>
    <w:p w:rsidR="006F35D2" w:rsidRDefault="006F35D2" w:rsidP="00426504">
      <w:pPr>
        <w:autoSpaceDE w:val="0"/>
        <w:autoSpaceDN w:val="0"/>
        <w:adjustRightInd w:val="0"/>
        <w:rPr>
          <w:b/>
          <w:bCs/>
          <w:color w:val="000000"/>
          <w:sz w:val="23"/>
          <w:szCs w:val="23"/>
        </w:rPr>
      </w:pPr>
    </w:p>
    <w:p w:rsidR="00426504" w:rsidRDefault="00426504" w:rsidP="00426504">
      <w:pPr>
        <w:autoSpaceDE w:val="0"/>
        <w:autoSpaceDN w:val="0"/>
        <w:adjustRightInd w:val="0"/>
        <w:rPr>
          <w:b/>
          <w:bCs/>
          <w:color w:val="000000"/>
          <w:sz w:val="23"/>
          <w:szCs w:val="23"/>
        </w:rPr>
      </w:pPr>
      <w:r w:rsidRPr="00426504">
        <w:rPr>
          <w:b/>
          <w:bCs/>
          <w:color w:val="000000"/>
          <w:sz w:val="23"/>
          <w:szCs w:val="23"/>
        </w:rPr>
        <w:t xml:space="preserve">INTRODUCTION </w:t>
      </w:r>
    </w:p>
    <w:p w:rsidR="00426504" w:rsidRPr="00426504" w:rsidRDefault="00426504" w:rsidP="00426504">
      <w:pPr>
        <w:autoSpaceDE w:val="0"/>
        <w:autoSpaceDN w:val="0"/>
        <w:adjustRightInd w:val="0"/>
        <w:rPr>
          <w:color w:val="000000"/>
          <w:sz w:val="23"/>
          <w:szCs w:val="23"/>
        </w:rPr>
      </w:pPr>
    </w:p>
    <w:p w:rsidR="00426504" w:rsidRPr="0003062C" w:rsidRDefault="00426504" w:rsidP="0003062C">
      <w:pPr>
        <w:autoSpaceDE w:val="0"/>
        <w:autoSpaceDN w:val="0"/>
        <w:adjustRightInd w:val="0"/>
        <w:jc w:val="both"/>
        <w:rPr>
          <w:color w:val="000000"/>
        </w:rPr>
      </w:pPr>
      <w:r w:rsidRPr="0003062C">
        <w:rPr>
          <w:color w:val="000000"/>
        </w:rPr>
        <w:t xml:space="preserve">Under the requirements of the Public Services Reform (Scotland) Act 2010, </w:t>
      </w:r>
      <w:r w:rsidR="006F35D2" w:rsidRPr="0003062C">
        <w:rPr>
          <w:color w:val="000000"/>
        </w:rPr>
        <w:t xml:space="preserve">NHS Education for Scotland </w:t>
      </w:r>
      <w:r w:rsidRPr="0003062C">
        <w:rPr>
          <w:color w:val="000000"/>
        </w:rPr>
        <w:t xml:space="preserve">is required to produce information on expenditure and certain other matters as soon as is reasonably practicable after the end of each financial year. </w:t>
      </w:r>
    </w:p>
    <w:p w:rsidR="00426504" w:rsidRPr="0003062C" w:rsidRDefault="00426504" w:rsidP="00292665">
      <w:pPr>
        <w:tabs>
          <w:tab w:val="left" w:pos="4829"/>
        </w:tabs>
        <w:jc w:val="both"/>
        <w:rPr>
          <w:color w:val="000000"/>
        </w:rPr>
      </w:pPr>
      <w:r w:rsidRPr="0003062C">
        <w:rPr>
          <w:color w:val="000000"/>
        </w:rPr>
        <w:t>The Act came into force on 1st October</w:t>
      </w:r>
      <w:r w:rsidR="006F35D2" w:rsidRPr="0003062C">
        <w:rPr>
          <w:color w:val="000000"/>
        </w:rPr>
        <w:t xml:space="preserve"> 2010</w:t>
      </w:r>
      <w:r w:rsidRPr="0003062C">
        <w:rPr>
          <w:color w:val="000000"/>
        </w:rPr>
        <w:t>.</w:t>
      </w:r>
      <w:r w:rsidR="00292665">
        <w:rPr>
          <w:color w:val="000000"/>
        </w:rPr>
        <w:t xml:space="preserve"> The following information covers the period from 1</w:t>
      </w:r>
      <w:r w:rsidR="00292665" w:rsidRPr="00292665">
        <w:rPr>
          <w:color w:val="000000"/>
          <w:vertAlign w:val="superscript"/>
        </w:rPr>
        <w:t>st</w:t>
      </w:r>
      <w:r w:rsidR="00292665">
        <w:rPr>
          <w:color w:val="000000"/>
        </w:rPr>
        <w:t xml:space="preserve"> April 201</w:t>
      </w:r>
      <w:r w:rsidR="00017FFC">
        <w:rPr>
          <w:color w:val="000000"/>
        </w:rPr>
        <w:t>2</w:t>
      </w:r>
      <w:r w:rsidR="00292665">
        <w:rPr>
          <w:color w:val="000000"/>
        </w:rPr>
        <w:t xml:space="preserve"> to 31</w:t>
      </w:r>
      <w:r w:rsidR="00292665" w:rsidRPr="00292665">
        <w:rPr>
          <w:color w:val="000000"/>
          <w:vertAlign w:val="superscript"/>
        </w:rPr>
        <w:t>st</w:t>
      </w:r>
      <w:r w:rsidR="00292665">
        <w:rPr>
          <w:color w:val="000000"/>
        </w:rPr>
        <w:t xml:space="preserve"> March 201</w:t>
      </w:r>
      <w:r w:rsidR="00017FFC">
        <w:rPr>
          <w:color w:val="000000"/>
        </w:rPr>
        <w:t>3</w:t>
      </w:r>
      <w:r w:rsidR="00292665">
        <w:rPr>
          <w:color w:val="000000"/>
        </w:rPr>
        <w:t>.</w:t>
      </w:r>
    </w:p>
    <w:p w:rsidR="006F35D2" w:rsidRDefault="006F35D2" w:rsidP="00426504">
      <w:pPr>
        <w:rPr>
          <w:color w:val="000000"/>
          <w:sz w:val="23"/>
          <w:szCs w:val="23"/>
        </w:rPr>
      </w:pPr>
    </w:p>
    <w:p w:rsidR="006F35D2" w:rsidRPr="006F35D2" w:rsidRDefault="006F35D2" w:rsidP="006F35D2">
      <w:pPr>
        <w:autoSpaceDE w:val="0"/>
        <w:autoSpaceDN w:val="0"/>
        <w:adjustRightInd w:val="0"/>
        <w:rPr>
          <w:b/>
          <w:bCs/>
          <w:color w:val="000000"/>
          <w:sz w:val="23"/>
          <w:szCs w:val="23"/>
        </w:rPr>
      </w:pPr>
      <w:r w:rsidRPr="006F35D2">
        <w:rPr>
          <w:b/>
          <w:bCs/>
          <w:color w:val="000000"/>
          <w:sz w:val="23"/>
          <w:szCs w:val="23"/>
        </w:rPr>
        <w:t>STATEMENT OF EXPENDITURE</w:t>
      </w:r>
    </w:p>
    <w:p w:rsidR="006F35D2" w:rsidRDefault="006F35D2" w:rsidP="006F35D2">
      <w:pPr>
        <w:pStyle w:val="Default"/>
      </w:pPr>
    </w:p>
    <w:p w:rsidR="006F35D2" w:rsidRPr="0003062C" w:rsidRDefault="006F35D2" w:rsidP="006F35D2">
      <w:pPr>
        <w:pStyle w:val="Default"/>
        <w:jc w:val="both"/>
      </w:pPr>
      <w:r w:rsidRPr="0003062C">
        <w:t xml:space="preserve">The Board is required to provide a statement of any expenditure incurred during the financial year on or in connection with the following matters: </w:t>
      </w:r>
    </w:p>
    <w:p w:rsidR="005F1060" w:rsidRPr="0003062C" w:rsidRDefault="005F1060" w:rsidP="006F35D2">
      <w:pPr>
        <w:pStyle w:val="Default"/>
      </w:pPr>
    </w:p>
    <w:p w:rsidR="005F1060" w:rsidRPr="0003062C" w:rsidRDefault="005F1060" w:rsidP="005F1060">
      <w:pPr>
        <w:pStyle w:val="Default"/>
        <w:numPr>
          <w:ilvl w:val="0"/>
          <w:numId w:val="3"/>
        </w:numPr>
      </w:pPr>
      <w:r w:rsidRPr="0003062C">
        <w:t xml:space="preserve">Public Relations; </w:t>
      </w:r>
    </w:p>
    <w:p w:rsidR="005F1060" w:rsidRPr="0003062C" w:rsidRDefault="005F1060" w:rsidP="005F1060">
      <w:pPr>
        <w:pStyle w:val="Default"/>
        <w:numPr>
          <w:ilvl w:val="0"/>
          <w:numId w:val="3"/>
        </w:numPr>
      </w:pPr>
      <w:r w:rsidRPr="0003062C">
        <w:t xml:space="preserve">Overseas Travel; </w:t>
      </w:r>
    </w:p>
    <w:p w:rsidR="005F1060" w:rsidRPr="0003062C" w:rsidRDefault="005F1060" w:rsidP="005F1060">
      <w:pPr>
        <w:pStyle w:val="Default"/>
        <w:numPr>
          <w:ilvl w:val="0"/>
          <w:numId w:val="3"/>
        </w:numPr>
      </w:pPr>
      <w:r w:rsidRPr="0003062C">
        <w:t xml:space="preserve">Hospitality &amp; Entertainment; and </w:t>
      </w:r>
    </w:p>
    <w:p w:rsidR="006F35D2" w:rsidRPr="0003062C" w:rsidRDefault="005F1060" w:rsidP="005F1060">
      <w:pPr>
        <w:pStyle w:val="Default"/>
        <w:numPr>
          <w:ilvl w:val="0"/>
          <w:numId w:val="3"/>
        </w:numPr>
      </w:pPr>
      <w:r w:rsidRPr="0003062C">
        <w:t xml:space="preserve">External Consultancy. </w:t>
      </w:r>
    </w:p>
    <w:p w:rsidR="005F1060" w:rsidRPr="0003062C" w:rsidRDefault="005F1060" w:rsidP="006F35D2">
      <w:pPr>
        <w:pStyle w:val="Default"/>
      </w:pPr>
    </w:p>
    <w:p w:rsidR="005F1060" w:rsidRPr="0003062C" w:rsidRDefault="005F1060" w:rsidP="006F35D2">
      <w:pPr>
        <w:pStyle w:val="Default"/>
      </w:pPr>
      <w:r w:rsidRPr="0003062C">
        <w:t xml:space="preserve">Guidance on what to include under each heading was </w:t>
      </w:r>
    </w:p>
    <w:p w:rsidR="006F35D2" w:rsidRPr="0003062C" w:rsidRDefault="006F35D2" w:rsidP="006F35D2">
      <w:pPr>
        <w:pStyle w:val="Default"/>
      </w:pPr>
    </w:p>
    <w:p w:rsidR="006F35D2" w:rsidRPr="0003062C" w:rsidRDefault="006F35D2" w:rsidP="0003062C">
      <w:pPr>
        <w:jc w:val="both"/>
      </w:pPr>
      <w:r w:rsidRPr="0003062C">
        <w:t>The following table summarises total expenditure for the period 1</w:t>
      </w:r>
      <w:r w:rsidRPr="0003062C">
        <w:rPr>
          <w:vertAlign w:val="superscript"/>
        </w:rPr>
        <w:t>st</w:t>
      </w:r>
      <w:r w:rsidRPr="0003062C">
        <w:t xml:space="preserve"> </w:t>
      </w:r>
      <w:r w:rsidR="006D20A2">
        <w:t>April 2011</w:t>
      </w:r>
      <w:r w:rsidRPr="0003062C">
        <w:t xml:space="preserve"> to 31st March 201</w:t>
      </w:r>
      <w:r w:rsidR="006D20A2">
        <w:t>2</w:t>
      </w:r>
      <w:r w:rsidRPr="0003062C">
        <w:t xml:space="preserve"> within each heading. The statement has been prepared on an </w:t>
      </w:r>
      <w:r w:rsidR="005F1060" w:rsidRPr="0003062C">
        <w:t>a</w:t>
      </w:r>
      <w:r w:rsidRPr="0003062C">
        <w:t xml:space="preserve">ccruals basis to reflect actual consumption during the period rather than simply recording </w:t>
      </w:r>
      <w:r w:rsidR="005F1060" w:rsidRPr="0003062C">
        <w:t>payments made</w:t>
      </w:r>
      <w:r w:rsidRPr="0003062C">
        <w:t>.</w:t>
      </w:r>
    </w:p>
    <w:p w:rsidR="006F35D2" w:rsidRDefault="006F35D2" w:rsidP="006F35D2">
      <w:pPr>
        <w:rPr>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3"/>
        <w:gridCol w:w="1652"/>
      </w:tblGrid>
      <w:tr w:rsidR="00760689" w:rsidTr="008B6E2B">
        <w:tc>
          <w:tcPr>
            <w:tcW w:w="4443" w:type="dxa"/>
            <w:vAlign w:val="bottom"/>
          </w:tcPr>
          <w:p w:rsidR="00760689" w:rsidRPr="00C4133A" w:rsidRDefault="00760689" w:rsidP="00C4133A">
            <w:pPr>
              <w:jc w:val="center"/>
              <w:rPr>
                <w:b/>
              </w:rPr>
            </w:pPr>
            <w:r w:rsidRPr="00C4133A">
              <w:rPr>
                <w:b/>
              </w:rPr>
              <w:t>Heading</w:t>
            </w:r>
          </w:p>
        </w:tc>
        <w:tc>
          <w:tcPr>
            <w:tcW w:w="1652" w:type="dxa"/>
            <w:vAlign w:val="bottom"/>
          </w:tcPr>
          <w:p w:rsidR="00760689" w:rsidRPr="00C4133A" w:rsidRDefault="00760689" w:rsidP="00C4133A">
            <w:pPr>
              <w:jc w:val="center"/>
              <w:rPr>
                <w:b/>
              </w:rPr>
            </w:pPr>
            <w:r w:rsidRPr="00C4133A">
              <w:rPr>
                <w:b/>
              </w:rPr>
              <w:t>Expenditure Total (£)</w:t>
            </w:r>
          </w:p>
        </w:tc>
      </w:tr>
      <w:tr w:rsidR="00760689" w:rsidTr="008B6E2B">
        <w:tc>
          <w:tcPr>
            <w:tcW w:w="4443" w:type="dxa"/>
            <w:vAlign w:val="bottom"/>
          </w:tcPr>
          <w:p w:rsidR="00760689" w:rsidRDefault="00760689" w:rsidP="00C4133A">
            <w:pPr>
              <w:jc w:val="center"/>
            </w:pPr>
          </w:p>
        </w:tc>
        <w:tc>
          <w:tcPr>
            <w:tcW w:w="1652" w:type="dxa"/>
            <w:vAlign w:val="bottom"/>
          </w:tcPr>
          <w:p w:rsidR="00760689" w:rsidRDefault="00760689" w:rsidP="00C4133A">
            <w:pPr>
              <w:jc w:val="center"/>
            </w:pPr>
          </w:p>
        </w:tc>
      </w:tr>
      <w:tr w:rsidR="00760689" w:rsidTr="008B6E2B">
        <w:tc>
          <w:tcPr>
            <w:tcW w:w="4443" w:type="dxa"/>
            <w:vAlign w:val="bottom"/>
          </w:tcPr>
          <w:p w:rsidR="00760689" w:rsidRPr="002C17FC" w:rsidRDefault="00760689" w:rsidP="00C4133A">
            <w:pPr>
              <w:jc w:val="center"/>
            </w:pPr>
            <w:r w:rsidRPr="002C17FC">
              <w:t>Public relations (Note 1)</w:t>
            </w:r>
          </w:p>
        </w:tc>
        <w:tc>
          <w:tcPr>
            <w:tcW w:w="1652" w:type="dxa"/>
            <w:vAlign w:val="center"/>
          </w:tcPr>
          <w:p w:rsidR="00760689" w:rsidRPr="002C17FC" w:rsidRDefault="002C17FC" w:rsidP="008B6E2B">
            <w:pPr>
              <w:jc w:val="right"/>
              <w:rPr>
                <w:rFonts w:ascii="Arial" w:hAnsi="Arial" w:cs="Arial"/>
                <w:sz w:val="20"/>
                <w:szCs w:val="20"/>
              </w:rPr>
            </w:pPr>
            <w:r w:rsidRPr="002C17FC">
              <w:rPr>
                <w:rFonts w:ascii="Arial" w:hAnsi="Arial" w:cs="Arial"/>
                <w:sz w:val="20"/>
                <w:szCs w:val="20"/>
              </w:rPr>
              <w:t>164,974</w:t>
            </w:r>
          </w:p>
        </w:tc>
      </w:tr>
      <w:tr w:rsidR="00760689" w:rsidTr="008B6E2B">
        <w:tc>
          <w:tcPr>
            <w:tcW w:w="4443" w:type="dxa"/>
            <w:vAlign w:val="bottom"/>
          </w:tcPr>
          <w:p w:rsidR="00760689" w:rsidRDefault="00760689" w:rsidP="00C4133A">
            <w:pPr>
              <w:jc w:val="center"/>
            </w:pPr>
          </w:p>
        </w:tc>
        <w:tc>
          <w:tcPr>
            <w:tcW w:w="1652" w:type="dxa"/>
            <w:vAlign w:val="center"/>
          </w:tcPr>
          <w:p w:rsidR="00760689" w:rsidRPr="00C4133A" w:rsidRDefault="00760689" w:rsidP="008B6E2B">
            <w:pPr>
              <w:jc w:val="right"/>
              <w:rPr>
                <w:rFonts w:ascii="Arial" w:hAnsi="Arial" w:cs="Arial"/>
                <w:sz w:val="20"/>
                <w:szCs w:val="20"/>
              </w:rPr>
            </w:pPr>
          </w:p>
        </w:tc>
      </w:tr>
      <w:tr w:rsidR="00760689" w:rsidTr="008B6E2B">
        <w:tc>
          <w:tcPr>
            <w:tcW w:w="4443" w:type="dxa"/>
            <w:vAlign w:val="bottom"/>
          </w:tcPr>
          <w:p w:rsidR="00760689" w:rsidRDefault="00760689" w:rsidP="00C4133A">
            <w:pPr>
              <w:jc w:val="center"/>
            </w:pPr>
            <w:r>
              <w:t>Overseas travel (Note 2)</w:t>
            </w:r>
          </w:p>
        </w:tc>
        <w:tc>
          <w:tcPr>
            <w:tcW w:w="1652" w:type="dxa"/>
            <w:vAlign w:val="center"/>
          </w:tcPr>
          <w:p w:rsidR="00760689" w:rsidRPr="00C4133A" w:rsidRDefault="00760689" w:rsidP="008B6E2B">
            <w:pPr>
              <w:jc w:val="right"/>
              <w:rPr>
                <w:rFonts w:ascii="Arial" w:hAnsi="Arial" w:cs="Arial"/>
                <w:sz w:val="20"/>
                <w:szCs w:val="20"/>
              </w:rPr>
            </w:pPr>
          </w:p>
        </w:tc>
      </w:tr>
      <w:tr w:rsidR="00760689" w:rsidTr="008B6E2B">
        <w:tc>
          <w:tcPr>
            <w:tcW w:w="4443" w:type="dxa"/>
            <w:vAlign w:val="bottom"/>
          </w:tcPr>
          <w:p w:rsidR="00760689" w:rsidRDefault="00760689" w:rsidP="00C4133A">
            <w:pPr>
              <w:jc w:val="center"/>
            </w:pPr>
            <w:r>
              <w:t>NES Staff</w:t>
            </w:r>
          </w:p>
        </w:tc>
        <w:tc>
          <w:tcPr>
            <w:tcW w:w="1652" w:type="dxa"/>
            <w:vAlign w:val="center"/>
          </w:tcPr>
          <w:p w:rsidR="00760689" w:rsidRPr="00FA69E6" w:rsidRDefault="00FA69E6" w:rsidP="008B6E2B">
            <w:pPr>
              <w:jc w:val="right"/>
              <w:rPr>
                <w:rFonts w:ascii="Arial" w:hAnsi="Arial" w:cs="Arial"/>
                <w:sz w:val="20"/>
                <w:szCs w:val="20"/>
              </w:rPr>
            </w:pPr>
            <w:r w:rsidRPr="00FA69E6">
              <w:rPr>
                <w:rFonts w:ascii="Arial" w:hAnsi="Arial" w:cs="Arial"/>
                <w:sz w:val="20"/>
                <w:szCs w:val="20"/>
              </w:rPr>
              <w:t>29,703</w:t>
            </w:r>
          </w:p>
        </w:tc>
      </w:tr>
      <w:tr w:rsidR="00760689" w:rsidTr="008B6E2B">
        <w:tc>
          <w:tcPr>
            <w:tcW w:w="4443" w:type="dxa"/>
            <w:vAlign w:val="bottom"/>
          </w:tcPr>
          <w:p w:rsidR="00760689" w:rsidRDefault="00760689" w:rsidP="00C4133A">
            <w:pPr>
              <w:jc w:val="center"/>
            </w:pPr>
            <w:r>
              <w:t>Overseas Study leave Payments</w:t>
            </w:r>
          </w:p>
        </w:tc>
        <w:tc>
          <w:tcPr>
            <w:tcW w:w="1652" w:type="dxa"/>
            <w:vAlign w:val="center"/>
          </w:tcPr>
          <w:p w:rsidR="00760689" w:rsidRPr="00FA69E6" w:rsidRDefault="00FA69E6" w:rsidP="008B6E2B">
            <w:pPr>
              <w:jc w:val="right"/>
              <w:rPr>
                <w:rFonts w:ascii="Arial" w:hAnsi="Arial" w:cs="Arial"/>
                <w:sz w:val="20"/>
                <w:szCs w:val="20"/>
              </w:rPr>
            </w:pPr>
            <w:r w:rsidRPr="00FA69E6">
              <w:rPr>
                <w:rFonts w:ascii="Arial" w:hAnsi="Arial" w:cs="Arial"/>
                <w:sz w:val="20"/>
                <w:szCs w:val="20"/>
              </w:rPr>
              <w:t>74,666</w:t>
            </w:r>
          </w:p>
        </w:tc>
      </w:tr>
      <w:tr w:rsidR="00760689" w:rsidTr="008B6E2B">
        <w:tc>
          <w:tcPr>
            <w:tcW w:w="4443" w:type="dxa"/>
            <w:vAlign w:val="bottom"/>
          </w:tcPr>
          <w:p w:rsidR="00760689" w:rsidRPr="00C4133A" w:rsidRDefault="00760689" w:rsidP="00C4133A">
            <w:pPr>
              <w:jc w:val="center"/>
              <w:rPr>
                <w:b/>
              </w:rPr>
            </w:pPr>
            <w:r w:rsidRPr="00C4133A">
              <w:rPr>
                <w:b/>
              </w:rPr>
              <w:t>Total Overseas Travel</w:t>
            </w:r>
          </w:p>
        </w:tc>
        <w:tc>
          <w:tcPr>
            <w:tcW w:w="1652" w:type="dxa"/>
            <w:vAlign w:val="center"/>
          </w:tcPr>
          <w:p w:rsidR="00760689" w:rsidRPr="00FA69E6" w:rsidRDefault="00FA69E6" w:rsidP="008B6E2B">
            <w:pPr>
              <w:jc w:val="right"/>
              <w:rPr>
                <w:rFonts w:ascii="Arial" w:hAnsi="Arial" w:cs="Arial"/>
                <w:b/>
                <w:sz w:val="20"/>
                <w:szCs w:val="20"/>
              </w:rPr>
            </w:pPr>
            <w:r w:rsidRPr="00FA69E6">
              <w:rPr>
                <w:rFonts w:ascii="Arial" w:hAnsi="Arial" w:cs="Arial"/>
                <w:b/>
                <w:sz w:val="20"/>
                <w:szCs w:val="20"/>
              </w:rPr>
              <w:t>104,370</w:t>
            </w:r>
          </w:p>
        </w:tc>
      </w:tr>
      <w:tr w:rsidR="00760689" w:rsidTr="008B6E2B">
        <w:tc>
          <w:tcPr>
            <w:tcW w:w="4443" w:type="dxa"/>
            <w:vAlign w:val="bottom"/>
          </w:tcPr>
          <w:p w:rsidR="00760689" w:rsidRDefault="00760689" w:rsidP="00C4133A">
            <w:pPr>
              <w:jc w:val="center"/>
            </w:pPr>
            <w:r>
              <w:t>Hospitality and entertainment (Note 3)</w:t>
            </w:r>
          </w:p>
        </w:tc>
        <w:tc>
          <w:tcPr>
            <w:tcW w:w="1652" w:type="dxa"/>
            <w:vAlign w:val="center"/>
          </w:tcPr>
          <w:p w:rsidR="008B2AF2" w:rsidRPr="000268A5" w:rsidRDefault="008B2AF2" w:rsidP="008B6E2B">
            <w:pPr>
              <w:jc w:val="right"/>
              <w:rPr>
                <w:rFonts w:ascii="Arial" w:hAnsi="Arial" w:cs="Arial"/>
                <w:sz w:val="20"/>
                <w:szCs w:val="20"/>
                <w:highlight w:val="yellow"/>
              </w:rPr>
            </w:pPr>
            <w:r w:rsidRPr="008B2AF2">
              <w:rPr>
                <w:rFonts w:ascii="Arial" w:hAnsi="Arial" w:cs="Arial"/>
                <w:sz w:val="20"/>
                <w:szCs w:val="20"/>
              </w:rPr>
              <w:t>581</w:t>
            </w:r>
          </w:p>
        </w:tc>
      </w:tr>
      <w:tr w:rsidR="00760689" w:rsidTr="008B6E2B">
        <w:tc>
          <w:tcPr>
            <w:tcW w:w="4443" w:type="dxa"/>
            <w:vAlign w:val="bottom"/>
          </w:tcPr>
          <w:p w:rsidR="00760689" w:rsidRDefault="00760689" w:rsidP="00C4133A">
            <w:pPr>
              <w:jc w:val="center"/>
            </w:pPr>
          </w:p>
        </w:tc>
        <w:tc>
          <w:tcPr>
            <w:tcW w:w="1652" w:type="dxa"/>
            <w:vAlign w:val="center"/>
          </w:tcPr>
          <w:p w:rsidR="00760689" w:rsidRPr="000268A5" w:rsidRDefault="00760689" w:rsidP="008B6E2B">
            <w:pPr>
              <w:jc w:val="right"/>
              <w:rPr>
                <w:rFonts w:ascii="Arial" w:hAnsi="Arial" w:cs="Arial"/>
                <w:sz w:val="20"/>
                <w:szCs w:val="20"/>
                <w:highlight w:val="yellow"/>
              </w:rPr>
            </w:pPr>
          </w:p>
        </w:tc>
      </w:tr>
      <w:tr w:rsidR="00760689" w:rsidTr="008B6E2B">
        <w:tc>
          <w:tcPr>
            <w:tcW w:w="4443" w:type="dxa"/>
            <w:vAlign w:val="bottom"/>
          </w:tcPr>
          <w:p w:rsidR="00760689" w:rsidRDefault="00760689" w:rsidP="00C4133A">
            <w:pPr>
              <w:jc w:val="center"/>
            </w:pPr>
            <w:r>
              <w:t>External consultancy (Note 4)</w:t>
            </w:r>
          </w:p>
        </w:tc>
        <w:tc>
          <w:tcPr>
            <w:tcW w:w="1652" w:type="dxa"/>
            <w:vAlign w:val="center"/>
          </w:tcPr>
          <w:p w:rsidR="00760689" w:rsidRPr="000268A5" w:rsidRDefault="001B67F8" w:rsidP="008B6E2B">
            <w:pPr>
              <w:jc w:val="right"/>
              <w:rPr>
                <w:rFonts w:ascii="Arial" w:hAnsi="Arial" w:cs="Arial"/>
                <w:sz w:val="20"/>
                <w:szCs w:val="20"/>
                <w:highlight w:val="yellow"/>
              </w:rPr>
            </w:pPr>
            <w:r w:rsidRPr="001B67F8">
              <w:rPr>
                <w:rFonts w:ascii="Arial" w:hAnsi="Arial" w:cs="Arial"/>
                <w:sz w:val="20"/>
                <w:szCs w:val="20"/>
              </w:rPr>
              <w:t>434,949</w:t>
            </w:r>
          </w:p>
        </w:tc>
      </w:tr>
      <w:tr w:rsidR="00760689" w:rsidTr="008B6E2B">
        <w:tc>
          <w:tcPr>
            <w:tcW w:w="4443" w:type="dxa"/>
            <w:vAlign w:val="bottom"/>
          </w:tcPr>
          <w:p w:rsidR="00760689" w:rsidRDefault="00760689" w:rsidP="00C4133A">
            <w:pPr>
              <w:jc w:val="center"/>
            </w:pPr>
          </w:p>
        </w:tc>
        <w:tc>
          <w:tcPr>
            <w:tcW w:w="1652" w:type="dxa"/>
            <w:vAlign w:val="center"/>
          </w:tcPr>
          <w:p w:rsidR="00760689" w:rsidRDefault="00760689" w:rsidP="008B6E2B">
            <w:pPr>
              <w:jc w:val="right"/>
            </w:pPr>
          </w:p>
        </w:tc>
      </w:tr>
    </w:tbl>
    <w:p w:rsidR="006F35D2" w:rsidRDefault="006F35D2" w:rsidP="006F35D2"/>
    <w:p w:rsidR="006F35D2" w:rsidRPr="0003062C" w:rsidRDefault="006F35D2" w:rsidP="006F35D2">
      <w:r w:rsidRPr="0003062C">
        <w:t>Notes:-</w:t>
      </w:r>
    </w:p>
    <w:p w:rsidR="006F35D2" w:rsidRPr="0003062C" w:rsidRDefault="006F35D2" w:rsidP="006F35D2"/>
    <w:p w:rsidR="006F35D2" w:rsidRPr="0003062C" w:rsidRDefault="006F35D2" w:rsidP="0003062C">
      <w:pPr>
        <w:jc w:val="both"/>
      </w:pPr>
      <w:r w:rsidRPr="0003062C">
        <w:t>1: The total represents NES expenditure incurred within the Communications Department by three members of staff who are actively involved with media ha</w:t>
      </w:r>
      <w:r w:rsidR="002C17FC">
        <w:t xml:space="preserve">ndling. </w:t>
      </w:r>
      <w:proofErr w:type="gramStart"/>
      <w:r w:rsidR="002C17FC">
        <w:t>and</w:t>
      </w:r>
      <w:proofErr w:type="gramEnd"/>
      <w:r w:rsidR="002C17FC">
        <w:t xml:space="preserve"> the costs associated with production of outward facing communications.</w:t>
      </w:r>
    </w:p>
    <w:p w:rsidR="006F35D2" w:rsidRPr="0003062C" w:rsidRDefault="006F35D2" w:rsidP="0003062C">
      <w:pPr>
        <w:jc w:val="both"/>
      </w:pPr>
    </w:p>
    <w:p w:rsidR="006F35D2" w:rsidRPr="0003062C" w:rsidRDefault="006F35D2" w:rsidP="0003062C">
      <w:pPr>
        <w:jc w:val="both"/>
      </w:pPr>
      <w:r w:rsidRPr="0003062C">
        <w:t xml:space="preserve">2: The total represents NES expenditure claimed on overseas travel by staff and non staff. </w:t>
      </w:r>
      <w:r w:rsidRPr="00292665">
        <w:t xml:space="preserve">This </w:t>
      </w:r>
      <w:r w:rsidRPr="000470B0">
        <w:t>includes £</w:t>
      </w:r>
      <w:r w:rsidR="000470B0" w:rsidRPr="000470B0">
        <w:t>74,666</w:t>
      </w:r>
      <w:r w:rsidRPr="00292665">
        <w:t xml:space="preserve"> in relation </w:t>
      </w:r>
      <w:r w:rsidR="00FD0DE1" w:rsidRPr="00292665">
        <w:t>to study</w:t>
      </w:r>
      <w:r w:rsidRPr="00292665">
        <w:t xml:space="preserve"> leave costs f</w:t>
      </w:r>
      <w:r w:rsidRPr="0003062C">
        <w:t>or trainees and covers travel to and from the United Kingdom, the cost of hotels, travel and subsistence and any other related expenditure</w:t>
      </w:r>
      <w:r w:rsidR="009E4FCB" w:rsidRPr="0003062C">
        <w:t xml:space="preserve"> but excludes the course fees</w:t>
      </w:r>
      <w:r w:rsidRPr="0003062C">
        <w:t xml:space="preserve">. </w:t>
      </w:r>
    </w:p>
    <w:p w:rsidR="006F35D2" w:rsidRPr="0003062C" w:rsidRDefault="006F35D2" w:rsidP="006F35D2"/>
    <w:p w:rsidR="006F35D2" w:rsidRPr="0003062C" w:rsidRDefault="006F35D2" w:rsidP="0003062C">
      <w:pPr>
        <w:jc w:val="both"/>
      </w:pPr>
      <w:r w:rsidRPr="0003062C">
        <w:t>3: The total represents expenditure on hospitality and entertainment incurred by NES. This includes Gift Vouc</w:t>
      </w:r>
      <w:r w:rsidR="000470B0">
        <w:t>hers, Chairman’s hospitality, providing meals for trainers a</w:t>
      </w:r>
      <w:r w:rsidRPr="0003062C">
        <w:t>nd team</w:t>
      </w:r>
      <w:r w:rsidR="006D20A2">
        <w:t xml:space="preserve"> </w:t>
      </w:r>
      <w:r w:rsidRPr="0003062C">
        <w:t>building costs.</w:t>
      </w:r>
    </w:p>
    <w:p w:rsidR="006F35D2" w:rsidRPr="0003062C" w:rsidRDefault="006F35D2" w:rsidP="0003062C">
      <w:pPr>
        <w:jc w:val="both"/>
      </w:pPr>
    </w:p>
    <w:p w:rsidR="006F35D2" w:rsidRPr="0003062C" w:rsidRDefault="006F35D2" w:rsidP="0003062C">
      <w:pPr>
        <w:jc w:val="both"/>
      </w:pPr>
      <w:r w:rsidRPr="0003062C">
        <w:t xml:space="preserve">4: The total represents expenditure on consultancy incurred by NES mainly with respect to </w:t>
      </w:r>
      <w:r w:rsidR="008B6E2B" w:rsidRPr="001B67F8">
        <w:t>property rationalisation</w:t>
      </w:r>
      <w:r w:rsidR="008B6E2B">
        <w:t xml:space="preserve">, </w:t>
      </w:r>
      <w:r w:rsidRPr="0003062C">
        <w:t>Training/Coaching, E-Learning, Educational Services, IT and other professional services but excludes audit and legal fees.</w:t>
      </w:r>
    </w:p>
    <w:p w:rsidR="00A07980" w:rsidRDefault="00A07980" w:rsidP="0003062C">
      <w:pPr>
        <w:jc w:val="both"/>
        <w:rPr>
          <w:sz w:val="23"/>
          <w:szCs w:val="23"/>
        </w:rPr>
      </w:pPr>
    </w:p>
    <w:p w:rsidR="00A07980" w:rsidRDefault="00A07980" w:rsidP="0003062C">
      <w:pPr>
        <w:jc w:val="both"/>
        <w:rPr>
          <w:sz w:val="23"/>
          <w:szCs w:val="23"/>
        </w:rPr>
      </w:pPr>
    </w:p>
    <w:p w:rsidR="00A07980" w:rsidRDefault="00A07980" w:rsidP="0003062C">
      <w:pPr>
        <w:pStyle w:val="Default"/>
        <w:jc w:val="both"/>
        <w:rPr>
          <w:b/>
          <w:bCs/>
          <w:sz w:val="23"/>
          <w:szCs w:val="23"/>
        </w:rPr>
      </w:pPr>
      <w:r>
        <w:rPr>
          <w:b/>
          <w:bCs/>
          <w:sz w:val="23"/>
          <w:szCs w:val="23"/>
        </w:rPr>
        <w:t xml:space="preserve">PAYMENTS WITH A VALUE IN EXCESS OF £25,000 </w:t>
      </w:r>
    </w:p>
    <w:p w:rsidR="00A07980" w:rsidRDefault="00A07980" w:rsidP="0003062C">
      <w:pPr>
        <w:pStyle w:val="Default"/>
        <w:jc w:val="both"/>
        <w:rPr>
          <w:sz w:val="23"/>
          <w:szCs w:val="23"/>
        </w:rPr>
      </w:pPr>
    </w:p>
    <w:p w:rsidR="00A07980" w:rsidRDefault="00A07980" w:rsidP="0003062C">
      <w:pPr>
        <w:jc w:val="both"/>
      </w:pPr>
      <w:r w:rsidRPr="004B185C">
        <w:t>The Board is required to provide a statement specifying the amount, date, payee and subject-matter of any payment made after 1</w:t>
      </w:r>
      <w:r w:rsidRPr="004B185C">
        <w:rPr>
          <w:vertAlign w:val="superscript"/>
        </w:rPr>
        <w:t>st</w:t>
      </w:r>
      <w:r w:rsidRPr="004B185C">
        <w:t xml:space="preserve"> October 2010 which has a value in excess of £25,000, inclusive of VAT. Details of these payments in respect of NHS Education for Scotland </w:t>
      </w:r>
      <w:r w:rsidR="006D20A2">
        <w:t xml:space="preserve">for </w:t>
      </w:r>
      <w:r w:rsidR="00017FFC">
        <w:t>2012-13</w:t>
      </w:r>
      <w:r w:rsidR="006D20A2">
        <w:t xml:space="preserve"> </w:t>
      </w:r>
      <w:r w:rsidRPr="004B185C">
        <w:t xml:space="preserve">are published in the Freedom of Information section on this website and can be </w:t>
      </w:r>
      <w:r w:rsidRPr="009A33D8">
        <w:t>found using the following link:</w:t>
      </w:r>
    </w:p>
    <w:p w:rsidR="004B185C" w:rsidRPr="004B185C" w:rsidRDefault="004B185C" w:rsidP="00A07980"/>
    <w:p w:rsidR="006F35D2" w:rsidRDefault="000470B0" w:rsidP="006F35D2">
      <w:pPr>
        <w:rPr>
          <w:sz w:val="23"/>
          <w:szCs w:val="23"/>
        </w:rPr>
      </w:pPr>
      <w:hyperlink r:id="rId5" w:history="1">
        <w:r w:rsidRPr="000B55C3">
          <w:rPr>
            <w:rStyle w:val="Hyperlink"/>
            <w:sz w:val="23"/>
            <w:szCs w:val="23"/>
          </w:rPr>
          <w:t>http://www.nes.scot.nhs.uk/about-us/freedom-of-information/nes-financial-transparency.aspx</w:t>
        </w:r>
      </w:hyperlink>
    </w:p>
    <w:p w:rsidR="000470B0" w:rsidRDefault="000470B0" w:rsidP="006F35D2">
      <w:pPr>
        <w:rPr>
          <w:sz w:val="23"/>
          <w:szCs w:val="23"/>
        </w:rPr>
      </w:pPr>
    </w:p>
    <w:p w:rsidR="00A07980" w:rsidRDefault="00A07980" w:rsidP="00A07980">
      <w:pPr>
        <w:pStyle w:val="Default"/>
        <w:rPr>
          <w:sz w:val="23"/>
          <w:szCs w:val="23"/>
        </w:rPr>
      </w:pPr>
      <w:r w:rsidRPr="00760689">
        <w:rPr>
          <w:b/>
          <w:bCs/>
          <w:sz w:val="23"/>
          <w:szCs w:val="23"/>
        </w:rPr>
        <w:t>MEMBERS OR EMPLOYEES WHO RECEIVE REUMNERATION IN EXCESS OF £150,000</w:t>
      </w:r>
      <w:r>
        <w:rPr>
          <w:b/>
          <w:bCs/>
          <w:sz w:val="23"/>
          <w:szCs w:val="23"/>
        </w:rPr>
        <w:t xml:space="preserve"> </w:t>
      </w:r>
    </w:p>
    <w:p w:rsidR="00A07980" w:rsidRPr="00671FDA" w:rsidRDefault="00A07980" w:rsidP="006F35D2">
      <w:pPr>
        <w:rPr>
          <w:sz w:val="23"/>
          <w:szCs w:val="23"/>
        </w:rPr>
      </w:pPr>
    </w:p>
    <w:p w:rsidR="00F70E7B" w:rsidRDefault="00F70E7B" w:rsidP="0003062C">
      <w:pPr>
        <w:jc w:val="both"/>
      </w:pPr>
      <w:r>
        <w:t>Five</w:t>
      </w:r>
      <w:r w:rsidR="00A07980">
        <w:t xml:space="preserve"> employees received remuneration in excess of £150,000 in the core NHS Education for Scotland in financial year </w:t>
      </w:r>
      <w:r w:rsidR="00017FFC">
        <w:t>2012-13</w:t>
      </w:r>
      <w:r w:rsidR="00A07980">
        <w:t>. Details of the salary and pension entitlements of</w:t>
      </w:r>
      <w:r>
        <w:t xml:space="preserve"> senior staff and</w:t>
      </w:r>
      <w:r w:rsidR="00A07980">
        <w:t xml:space="preserve"> members of NHS Education for Scotland are published as part of the Remuneration Report in the NHS Education for Scotland Annual Accounts for the financial year ended 31 March 201</w:t>
      </w:r>
      <w:r w:rsidR="00017FFC">
        <w:t>3</w:t>
      </w:r>
      <w:r w:rsidR="00A07980">
        <w:t xml:space="preserve">. </w:t>
      </w:r>
      <w:r w:rsidR="00FD0DE1" w:rsidRPr="004B185C">
        <w:t>The annual</w:t>
      </w:r>
      <w:r w:rsidR="004B185C" w:rsidRPr="004B185C">
        <w:t xml:space="preserve"> </w:t>
      </w:r>
      <w:r w:rsidR="00A07980" w:rsidRPr="004B185C">
        <w:t xml:space="preserve">accounts are also </w:t>
      </w:r>
      <w:r w:rsidR="004B185C" w:rsidRPr="00F70E7B">
        <w:t xml:space="preserve">published in the Freedom of Information section on this website </w:t>
      </w:r>
      <w:r w:rsidR="00A07980" w:rsidRPr="00F70E7B">
        <w:t xml:space="preserve">and </w:t>
      </w:r>
      <w:r w:rsidR="00397F76" w:rsidRPr="00F70E7B">
        <w:t>can be</w:t>
      </w:r>
      <w:r w:rsidR="00A07980" w:rsidRPr="00F70E7B">
        <w:t xml:space="preserve"> found using the</w:t>
      </w:r>
      <w:r w:rsidR="006D20A2" w:rsidRPr="00F70E7B">
        <w:t xml:space="preserve"> </w:t>
      </w:r>
      <w:r w:rsidR="00A07980" w:rsidRPr="00F70E7B">
        <w:t>following link:</w:t>
      </w:r>
      <w:r w:rsidR="006D20A2">
        <w:t xml:space="preserve">     </w:t>
      </w:r>
    </w:p>
    <w:p w:rsidR="00F70E7B" w:rsidRDefault="00F70E7B" w:rsidP="0003062C">
      <w:pPr>
        <w:jc w:val="both"/>
      </w:pPr>
    </w:p>
    <w:p w:rsidR="004B185C" w:rsidRDefault="00017FFC" w:rsidP="0003062C">
      <w:pPr>
        <w:jc w:val="both"/>
      </w:pPr>
      <w:hyperlink r:id="rId6" w:history="1">
        <w:r w:rsidRPr="00EE546F">
          <w:rPr>
            <w:rStyle w:val="Hyperlink"/>
          </w:rPr>
          <w:t>http://www</w:t>
        </w:r>
        <w:r w:rsidRPr="00EE546F">
          <w:rPr>
            <w:rStyle w:val="Hyperlink"/>
          </w:rPr>
          <w:t>.</w:t>
        </w:r>
        <w:r w:rsidRPr="00EE546F">
          <w:rPr>
            <w:rStyle w:val="Hyperlink"/>
          </w:rPr>
          <w:t>nes.scot.nhs.uk/publications-and-resources/corporate-publications/nhs-education-for-scotland-annual-accounts-2012-13.aspx</w:t>
        </w:r>
      </w:hyperlink>
    </w:p>
    <w:p w:rsidR="00017FFC" w:rsidRDefault="00017FFC" w:rsidP="0003062C">
      <w:pPr>
        <w:jc w:val="both"/>
      </w:pPr>
    </w:p>
    <w:p w:rsidR="004B185C" w:rsidRDefault="004B185C" w:rsidP="0003062C">
      <w:pPr>
        <w:jc w:val="both"/>
      </w:pPr>
    </w:p>
    <w:p w:rsidR="004B185C" w:rsidRDefault="004B185C" w:rsidP="0003062C">
      <w:pPr>
        <w:jc w:val="both"/>
      </w:pPr>
    </w:p>
    <w:p w:rsidR="00FC1A42" w:rsidRDefault="00FC1A42" w:rsidP="0003062C">
      <w:pPr>
        <w:jc w:val="both"/>
        <w:rPr>
          <w:b/>
          <w:bCs/>
          <w:sz w:val="23"/>
          <w:szCs w:val="23"/>
        </w:rPr>
      </w:pPr>
      <w:r w:rsidRPr="00760689">
        <w:rPr>
          <w:b/>
          <w:bCs/>
          <w:sz w:val="23"/>
          <w:szCs w:val="23"/>
        </w:rPr>
        <w:t>SUSTAINABLE GROWTH</w:t>
      </w:r>
      <w:r>
        <w:rPr>
          <w:b/>
          <w:bCs/>
          <w:sz w:val="23"/>
          <w:szCs w:val="23"/>
        </w:rPr>
        <w:t xml:space="preserve"> </w:t>
      </w:r>
    </w:p>
    <w:p w:rsidR="003A4620" w:rsidRDefault="003A4620" w:rsidP="0003062C">
      <w:pPr>
        <w:jc w:val="both"/>
        <w:rPr>
          <w:b/>
          <w:bCs/>
          <w:sz w:val="23"/>
          <w:szCs w:val="23"/>
        </w:rPr>
      </w:pPr>
    </w:p>
    <w:p w:rsidR="003A4620" w:rsidRPr="00760689" w:rsidRDefault="003A4620" w:rsidP="00760689">
      <w:pPr>
        <w:jc w:val="both"/>
      </w:pPr>
      <w:r w:rsidRPr="00760689">
        <w:t xml:space="preserve">NHS Education for </w:t>
      </w:r>
      <w:smartTag w:uri="urn:schemas-microsoft-com:office:smarttags" w:element="place">
        <w:smartTag w:uri="urn:schemas-microsoft-com:office:smarttags" w:element="country-region">
          <w:r w:rsidRPr="00760689">
            <w:t>Scotland</w:t>
          </w:r>
        </w:smartTag>
      </w:smartTag>
      <w:r w:rsidRPr="00760689">
        <w:t xml:space="preserve"> is committed to sustainable development and has in place an environmental policy.  </w:t>
      </w:r>
    </w:p>
    <w:p w:rsidR="003A4620" w:rsidRPr="00760689" w:rsidRDefault="003A4620" w:rsidP="00760689">
      <w:pPr>
        <w:jc w:val="both"/>
      </w:pPr>
    </w:p>
    <w:p w:rsidR="003A4620" w:rsidRPr="00760689" w:rsidRDefault="003A4620" w:rsidP="00760689">
      <w:pPr>
        <w:jc w:val="both"/>
      </w:pPr>
      <w:r w:rsidRPr="00760689">
        <w:t xml:space="preserve">Our focus on sustainability is clearly demonstrated through our outreach and other </w:t>
      </w:r>
      <w:proofErr w:type="gramStart"/>
      <w:r w:rsidRPr="00760689">
        <w:t>activities</w:t>
      </w:r>
      <w:proofErr w:type="gramEnd"/>
      <w:r w:rsidRPr="00760689">
        <w:t xml:space="preserve"> in support of remote and rural communities.  During </w:t>
      </w:r>
      <w:r w:rsidR="00001569">
        <w:t>2012/13</w:t>
      </w:r>
      <w:r w:rsidRPr="00760689">
        <w:t xml:space="preserve"> we continued to support the mobile clinical skills unit which successfully delivered clinical skills training to a range of remote and rural areas including island Health Boards; we have </w:t>
      </w:r>
      <w:r w:rsidRPr="00760689">
        <w:lastRenderedPageBreak/>
        <w:t xml:space="preserve">continued the expansion of our dental outreach activities and have continued our support of remote and rural fellows. </w:t>
      </w:r>
    </w:p>
    <w:p w:rsidR="003A4620" w:rsidRPr="00760689" w:rsidRDefault="003A4620" w:rsidP="00760689">
      <w:pPr>
        <w:jc w:val="both"/>
      </w:pPr>
    </w:p>
    <w:p w:rsidR="003A4620" w:rsidRPr="00760689" w:rsidRDefault="003A4620" w:rsidP="00760689">
      <w:pPr>
        <w:jc w:val="both"/>
      </w:pPr>
      <w:r w:rsidRPr="00760689">
        <w:t xml:space="preserve">NHS Education for </w:t>
      </w:r>
      <w:smartTag w:uri="urn:schemas-microsoft-com:office:smarttags" w:element="place">
        <w:smartTag w:uri="urn:schemas-microsoft-com:office:smarttags" w:element="country-region">
          <w:r w:rsidRPr="00760689">
            <w:t>Scotland</w:t>
          </w:r>
        </w:smartTag>
      </w:smartTag>
      <w:r w:rsidRPr="00760689">
        <w:t xml:space="preserve"> also keeps its internal activities and processes under review to ensure that we are taking into account all aspects of sustainable development.  In particular in planning our rationalisation of office premises in Edinburgh we have taken advantage of the opportunity to focus on improved environmental sustainability and this formed one of the criteria for selection of a new building</w:t>
      </w:r>
      <w:r w:rsidR="00001569">
        <w:t xml:space="preserve"> and of the technology we are now using</w:t>
      </w:r>
      <w:r w:rsidRPr="00760689">
        <w:t>.</w:t>
      </w:r>
    </w:p>
    <w:p w:rsidR="00FC1A42" w:rsidRDefault="00FC1A42" w:rsidP="00760689">
      <w:pPr>
        <w:jc w:val="both"/>
      </w:pPr>
    </w:p>
    <w:p w:rsidR="00FC1A42" w:rsidRDefault="00FC1A42" w:rsidP="00A07980"/>
    <w:p w:rsidR="004B185C" w:rsidRDefault="00FC1A42" w:rsidP="00A07980">
      <w:pPr>
        <w:rPr>
          <w:b/>
          <w:bCs/>
          <w:sz w:val="23"/>
          <w:szCs w:val="23"/>
        </w:rPr>
      </w:pPr>
      <w:r w:rsidRPr="00760689">
        <w:rPr>
          <w:b/>
          <w:bCs/>
          <w:sz w:val="23"/>
          <w:szCs w:val="23"/>
        </w:rPr>
        <w:t>EFFICIENCY, EFFECTIVENESS AND ECONOMY</w:t>
      </w:r>
    </w:p>
    <w:p w:rsidR="00FC1A42" w:rsidRDefault="00FC1A42" w:rsidP="00A07980">
      <w:pPr>
        <w:rPr>
          <w:b/>
          <w:bCs/>
          <w:sz w:val="23"/>
          <w:szCs w:val="23"/>
        </w:rPr>
      </w:pPr>
    </w:p>
    <w:p w:rsidR="00A07980" w:rsidRPr="00760689" w:rsidRDefault="00DA00AA" w:rsidP="0003062C">
      <w:pPr>
        <w:jc w:val="both"/>
      </w:pPr>
      <w:r w:rsidRPr="00760689">
        <w:t xml:space="preserve">NHS Education for </w:t>
      </w:r>
      <w:smartTag w:uri="urn:schemas-microsoft-com:office:smarttags" w:element="country-region">
        <w:smartTag w:uri="urn:schemas-microsoft-com:office:smarttags" w:element="place">
          <w:r w:rsidRPr="00760689">
            <w:t>Scotland</w:t>
          </w:r>
        </w:smartTag>
      </w:smartTag>
      <w:r w:rsidRPr="00760689">
        <w:t xml:space="preserve"> has had to make significant cash releasing savings over the last few years to return to the Scottish Government.  As a result we have a strong focus on efficiency, effectiveness and economy.</w:t>
      </w:r>
    </w:p>
    <w:p w:rsidR="00DA00AA" w:rsidRPr="00760689" w:rsidRDefault="00DA00AA" w:rsidP="0003062C">
      <w:pPr>
        <w:jc w:val="both"/>
      </w:pPr>
    </w:p>
    <w:p w:rsidR="00DA00AA" w:rsidRDefault="00F91A45" w:rsidP="0003062C">
      <w:pPr>
        <w:jc w:val="both"/>
      </w:pPr>
      <w:r w:rsidRPr="00760689">
        <w:t xml:space="preserve">All our budgets are subject to annual review and challenge. We also use a number of tools such as Activity Based Costing to identify areas where we think there are opportunities for us to re-design activities to be more efficient.  </w:t>
      </w:r>
      <w:r w:rsidR="00DA00AA" w:rsidRPr="00760689">
        <w:t>We have an internal Organisational Performance Improvement Board which is responsible for monitoring progress towards improvement targets and providing support with improvement activities.</w:t>
      </w:r>
    </w:p>
    <w:p w:rsidR="006F35D2" w:rsidRDefault="006F35D2" w:rsidP="0003062C">
      <w:pPr>
        <w:jc w:val="both"/>
      </w:pPr>
    </w:p>
    <w:p w:rsidR="00001569" w:rsidRDefault="00001569" w:rsidP="0003062C">
      <w:pPr>
        <w:jc w:val="both"/>
      </w:pPr>
    </w:p>
    <w:sectPr w:rsidR="000015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46B"/>
    <w:multiLevelType w:val="hybridMultilevel"/>
    <w:tmpl w:val="93209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D5C2ABF"/>
    <w:multiLevelType w:val="hybridMultilevel"/>
    <w:tmpl w:val="1DCEC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10911EF"/>
    <w:multiLevelType w:val="hybridMultilevel"/>
    <w:tmpl w:val="1B755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6504"/>
    <w:rsid w:val="00001569"/>
    <w:rsid w:val="00017FFC"/>
    <w:rsid w:val="000268A5"/>
    <w:rsid w:val="0003062C"/>
    <w:rsid w:val="000470B0"/>
    <w:rsid w:val="000F136D"/>
    <w:rsid w:val="00114E1D"/>
    <w:rsid w:val="00157FEC"/>
    <w:rsid w:val="001B67F8"/>
    <w:rsid w:val="00292665"/>
    <w:rsid w:val="002B4916"/>
    <w:rsid w:val="002C17FC"/>
    <w:rsid w:val="00347DCA"/>
    <w:rsid w:val="00397F76"/>
    <w:rsid w:val="003A4620"/>
    <w:rsid w:val="003F0023"/>
    <w:rsid w:val="00426504"/>
    <w:rsid w:val="004B185C"/>
    <w:rsid w:val="005071C0"/>
    <w:rsid w:val="00526E81"/>
    <w:rsid w:val="005322CD"/>
    <w:rsid w:val="0057515C"/>
    <w:rsid w:val="005F1060"/>
    <w:rsid w:val="00671FDA"/>
    <w:rsid w:val="006D20A2"/>
    <w:rsid w:val="006F35D2"/>
    <w:rsid w:val="00732F75"/>
    <w:rsid w:val="00760689"/>
    <w:rsid w:val="008B2AF2"/>
    <w:rsid w:val="008B6E2B"/>
    <w:rsid w:val="008D2E58"/>
    <w:rsid w:val="009A33D8"/>
    <w:rsid w:val="009E4FCB"/>
    <w:rsid w:val="00A07980"/>
    <w:rsid w:val="00A801E5"/>
    <w:rsid w:val="00B626F5"/>
    <w:rsid w:val="00C4133A"/>
    <w:rsid w:val="00DA00AA"/>
    <w:rsid w:val="00F70E7B"/>
    <w:rsid w:val="00F91A45"/>
    <w:rsid w:val="00FA69E6"/>
    <w:rsid w:val="00FC1A42"/>
    <w:rsid w:val="00FD0D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26504"/>
    <w:pPr>
      <w:autoSpaceDE w:val="0"/>
      <w:autoSpaceDN w:val="0"/>
      <w:adjustRightInd w:val="0"/>
    </w:pPr>
    <w:rPr>
      <w:color w:val="000000"/>
      <w:sz w:val="24"/>
      <w:szCs w:val="24"/>
    </w:rPr>
  </w:style>
  <w:style w:type="table" w:styleId="TableGrid">
    <w:name w:val="Table Grid"/>
    <w:basedOn w:val="TableNormal"/>
    <w:rsid w:val="006F3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7980"/>
    <w:rPr>
      <w:color w:val="0000FF"/>
      <w:u w:val="single"/>
    </w:rPr>
  </w:style>
  <w:style w:type="character" w:styleId="FollowedHyperlink">
    <w:name w:val="FollowedHyperlink"/>
    <w:basedOn w:val="DefaultParagraphFont"/>
    <w:rsid w:val="00A07980"/>
    <w:rPr>
      <w:color w:val="800080"/>
      <w:u w:val="single"/>
    </w:rPr>
  </w:style>
</w:styles>
</file>

<file path=word/webSettings.xml><?xml version="1.0" encoding="utf-8"?>
<w:webSettings xmlns:r="http://schemas.openxmlformats.org/officeDocument/2006/relationships" xmlns:w="http://schemas.openxmlformats.org/wordprocessingml/2006/main">
  <w:divs>
    <w:div w:id="342897306">
      <w:bodyDiv w:val="1"/>
      <w:marLeft w:val="0"/>
      <w:marRight w:val="0"/>
      <w:marTop w:val="0"/>
      <w:marBottom w:val="0"/>
      <w:divBdr>
        <w:top w:val="none" w:sz="0" w:space="0" w:color="auto"/>
        <w:left w:val="none" w:sz="0" w:space="0" w:color="auto"/>
        <w:bottom w:val="none" w:sz="0" w:space="0" w:color="auto"/>
        <w:right w:val="none" w:sz="0" w:space="0" w:color="auto"/>
      </w:divBdr>
    </w:div>
    <w:div w:id="383529318">
      <w:bodyDiv w:val="1"/>
      <w:marLeft w:val="0"/>
      <w:marRight w:val="0"/>
      <w:marTop w:val="0"/>
      <w:marBottom w:val="0"/>
      <w:divBdr>
        <w:top w:val="none" w:sz="0" w:space="0" w:color="auto"/>
        <w:left w:val="none" w:sz="0" w:space="0" w:color="auto"/>
        <w:bottom w:val="none" w:sz="0" w:space="0" w:color="auto"/>
        <w:right w:val="none" w:sz="0" w:space="0" w:color="auto"/>
      </w:divBdr>
    </w:div>
    <w:div w:id="517306445">
      <w:bodyDiv w:val="1"/>
      <w:marLeft w:val="0"/>
      <w:marRight w:val="0"/>
      <w:marTop w:val="0"/>
      <w:marBottom w:val="0"/>
      <w:divBdr>
        <w:top w:val="none" w:sz="0" w:space="0" w:color="auto"/>
        <w:left w:val="none" w:sz="0" w:space="0" w:color="auto"/>
        <w:bottom w:val="none" w:sz="0" w:space="0" w:color="auto"/>
        <w:right w:val="none" w:sz="0" w:space="0" w:color="auto"/>
      </w:divBdr>
    </w:div>
    <w:div w:id="716243569">
      <w:bodyDiv w:val="1"/>
      <w:marLeft w:val="0"/>
      <w:marRight w:val="0"/>
      <w:marTop w:val="0"/>
      <w:marBottom w:val="0"/>
      <w:divBdr>
        <w:top w:val="none" w:sz="0" w:space="0" w:color="auto"/>
        <w:left w:val="none" w:sz="0" w:space="0" w:color="auto"/>
        <w:bottom w:val="none" w:sz="0" w:space="0" w:color="auto"/>
        <w:right w:val="none" w:sz="0" w:space="0" w:color="auto"/>
      </w:divBdr>
    </w:div>
    <w:div w:id="1319534511">
      <w:bodyDiv w:val="1"/>
      <w:marLeft w:val="0"/>
      <w:marRight w:val="0"/>
      <w:marTop w:val="0"/>
      <w:marBottom w:val="0"/>
      <w:divBdr>
        <w:top w:val="none" w:sz="0" w:space="0" w:color="auto"/>
        <w:left w:val="none" w:sz="0" w:space="0" w:color="auto"/>
        <w:bottom w:val="none" w:sz="0" w:space="0" w:color="auto"/>
        <w:right w:val="none" w:sz="0" w:space="0" w:color="auto"/>
      </w:divBdr>
    </w:div>
    <w:div w:id="20550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scot.nhs.uk/publications-and-resources/corporate-publications/nhs-education-for-scotland-annual-accounts-2012-13.aspx" TargetMode="External"/><Relationship Id="rId5" Type="http://schemas.openxmlformats.org/officeDocument/2006/relationships/hyperlink" Target="http://www.nes.scot.nhs.uk/about-us/freedom-of-information/nes-financial-transparenc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 SERVICES REFORM (SCOTLAND) ACT 2010</vt:lpstr>
    </vt:vector>
  </TitlesOfParts>
  <Company>NES</Company>
  <LinksUpToDate>false</LinksUpToDate>
  <CharactersWithSpaces>5594</CharactersWithSpaces>
  <SharedDoc>false</SharedDoc>
  <HLinks>
    <vt:vector size="12" baseType="variant">
      <vt:variant>
        <vt:i4>5046282</vt:i4>
      </vt:variant>
      <vt:variant>
        <vt:i4>3</vt:i4>
      </vt:variant>
      <vt:variant>
        <vt:i4>0</vt:i4>
      </vt:variant>
      <vt:variant>
        <vt:i4>5</vt:i4>
      </vt:variant>
      <vt:variant>
        <vt:lpwstr>http://www.nes.scot.nhs.uk/publications-and-resources/corporate-publications/nhs-education-for-scotland-annual-accounts-2012-13.aspx</vt:lpwstr>
      </vt:variant>
      <vt:variant>
        <vt:lpwstr/>
      </vt:variant>
      <vt:variant>
        <vt:i4>8061029</vt:i4>
      </vt:variant>
      <vt:variant>
        <vt:i4>0</vt:i4>
      </vt:variant>
      <vt:variant>
        <vt:i4>0</vt:i4>
      </vt:variant>
      <vt:variant>
        <vt:i4>5</vt:i4>
      </vt:variant>
      <vt:variant>
        <vt:lpwstr>http://www.nes.scot.nhs.uk/about-us/freedom-of-information/nes-financial-transparency.aspx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SERVICES REFORM (SCOTLAND) ACT 2010</dc:title>
  <dc:creator>JaniceS</dc:creator>
  <cp:lastModifiedBy>NicholasC</cp:lastModifiedBy>
  <cp:revision>2</cp:revision>
  <cp:lastPrinted>2012-10-01T10:52:00Z</cp:lastPrinted>
  <dcterms:created xsi:type="dcterms:W3CDTF">2015-04-17T13:38:00Z</dcterms:created>
  <dcterms:modified xsi:type="dcterms:W3CDTF">2015-04-17T13:38:00Z</dcterms:modified>
</cp:coreProperties>
</file>