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FD759" w14:textId="77777777" w:rsidR="00D6539E" w:rsidRDefault="00D9022D" w:rsidP="00AF0A00">
      <w:pPr>
        <w:pStyle w:val="Chapterheading"/>
        <w:numPr>
          <w:ilvl w:val="0"/>
          <w:numId w:val="0"/>
        </w:numPr>
        <w:spacing w:line="360" w:lineRule="auto"/>
      </w:pPr>
      <w:r>
        <w:t xml:space="preserve">                                                                                                                                                                                                                                                                                                                                                                                                                                                                                                                                                                                                                                                                                                                                                                                                                                                                                                                                                                                                                                                                                                                                                                                                                                                                                                                                                                                                                                                                                                                                                                                                                                                                                                                                                                                                                                                                                                                                                                                                                                                                                                                                                                                                                                                                                                                                                                                                                                                                                                                                                                                                                                                                                                                                                                                                                                                                                                                                                                                                                                                                                                                                                                                                                                                                                                                                                                                                                                                                                                                                                                                                                                                                                                                                                                                                                                                                                                                                                                                                                                                                                                                                                                                                                                                                                                                                                                                                                                                                                                                                                                                                                                                                                                                                                                                                                                                                                                                                                                                                                                                                                                                                                                                                                                                                                                                                                                                                                                                                                                                                                                                                                                                                                                                                                                                                                                                                                                                                                                                                                                                                                                                                                                                                                                                                                                                                                                                                                                                                                                                                                                                                                                                                                                                                                                                                                                                                                                                                                                                                                                                                                                                                                                                                                                      </w:t>
      </w:r>
      <w:r w:rsidR="00B16D53">
        <w:t xml:space="preserve">                                                                          </w:t>
      </w:r>
    </w:p>
    <w:p w14:paraId="277FD75A" w14:textId="77777777" w:rsidR="008C48EC" w:rsidRDefault="008C48EC" w:rsidP="00AF0A00">
      <w:pPr>
        <w:pStyle w:val="Chapterheading"/>
        <w:numPr>
          <w:ilvl w:val="0"/>
          <w:numId w:val="0"/>
        </w:numPr>
        <w:spacing w:line="360" w:lineRule="auto"/>
      </w:pPr>
    </w:p>
    <w:p w14:paraId="5E610802" w14:textId="77777777" w:rsidR="005D1546" w:rsidRDefault="51E9A9B4" w:rsidP="00AF0A00">
      <w:pPr>
        <w:pStyle w:val="Chapterheading"/>
        <w:numPr>
          <w:ilvl w:val="0"/>
          <w:numId w:val="0"/>
        </w:numPr>
        <w:spacing w:line="360" w:lineRule="auto"/>
        <w:rPr>
          <w:color w:val="000000" w:themeColor="text1"/>
          <w:sz w:val="36"/>
          <w:szCs w:val="36"/>
        </w:rPr>
      </w:pPr>
      <w:r w:rsidRPr="00AF0A00">
        <w:rPr>
          <w:color w:val="000000" w:themeColor="text1"/>
          <w:sz w:val="36"/>
          <w:szCs w:val="36"/>
        </w:rPr>
        <w:t xml:space="preserve">NHS Education for Scotland: </w:t>
      </w:r>
    </w:p>
    <w:p w14:paraId="277FD75B" w14:textId="02785BA9" w:rsidR="00FC5B87" w:rsidRPr="00AF0A00" w:rsidRDefault="51E9A9B4" w:rsidP="00AF0A00">
      <w:pPr>
        <w:pStyle w:val="Chapterheading"/>
        <w:numPr>
          <w:ilvl w:val="0"/>
          <w:numId w:val="0"/>
        </w:numPr>
        <w:spacing w:line="360" w:lineRule="auto"/>
        <w:rPr>
          <w:color w:val="000000" w:themeColor="text1"/>
          <w:sz w:val="36"/>
          <w:szCs w:val="36"/>
        </w:rPr>
      </w:pPr>
      <w:r w:rsidRPr="00AF0A00">
        <w:rPr>
          <w:color w:val="000000" w:themeColor="text1"/>
          <w:sz w:val="36"/>
          <w:szCs w:val="36"/>
        </w:rPr>
        <w:t>Equal Pay Statement</w:t>
      </w:r>
    </w:p>
    <w:p w14:paraId="277FD75C" w14:textId="77777777" w:rsidR="00A65BAF" w:rsidRPr="008C48EC" w:rsidRDefault="00AB4751" w:rsidP="00AF0A00">
      <w:pPr>
        <w:pStyle w:val="Default"/>
        <w:framePr w:w="2278" w:wrap="auto" w:vAnchor="page" w:hAnchor="page" w:x="8731" w:y="511"/>
        <w:spacing w:after="780" w:line="360" w:lineRule="auto"/>
      </w:pPr>
      <w:r>
        <w:rPr>
          <w:noProof/>
        </w:rPr>
        <w:drawing>
          <wp:inline distT="0" distB="0" distL="0" distR="0" wp14:anchorId="277FD9AE" wp14:editId="363D8DCA">
            <wp:extent cx="115189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51890" cy="1257300"/>
                    </a:xfrm>
                    <a:prstGeom prst="rect">
                      <a:avLst/>
                    </a:prstGeom>
                  </pic:spPr>
                </pic:pic>
              </a:graphicData>
            </a:graphic>
          </wp:inline>
        </w:drawing>
      </w:r>
    </w:p>
    <w:p w14:paraId="277FD75D" w14:textId="77777777" w:rsidR="00FC5B87" w:rsidRPr="008C48EC" w:rsidRDefault="51E9A9B4" w:rsidP="00AF0A00">
      <w:pPr>
        <w:shd w:val="clear" w:color="auto" w:fill="FFFFFF" w:themeFill="background1"/>
        <w:spacing w:after="120" w:line="360" w:lineRule="auto"/>
        <w:rPr>
          <w:rFonts w:ascii="Arial" w:eastAsia="Arial" w:hAnsi="Arial" w:cs="Arial"/>
          <w:color w:val="000000" w:themeColor="text1"/>
        </w:rPr>
      </w:pPr>
      <w:r w:rsidRPr="51E9A9B4">
        <w:rPr>
          <w:rFonts w:ascii="Arial" w:eastAsia="Arial" w:hAnsi="Arial" w:cs="Arial"/>
          <w:color w:val="000000" w:themeColor="text1"/>
        </w:rPr>
        <w:t>This statement has been agreed in partnership and approved by the NHS Education for Scotland (NES) Board. It will be reviewed on a regular basis by the NES Executive Team, Partnership Forum and Staff Governance Committee.</w:t>
      </w:r>
    </w:p>
    <w:p w14:paraId="277FD75E" w14:textId="77777777" w:rsidR="00FC5B87" w:rsidRPr="008C48EC" w:rsidRDefault="51E9A9B4" w:rsidP="00AF0A00">
      <w:pPr>
        <w:shd w:val="clear" w:color="auto" w:fill="FFFFFF" w:themeFill="background1"/>
        <w:spacing w:after="120" w:line="360" w:lineRule="auto"/>
        <w:rPr>
          <w:rFonts w:ascii="Arial" w:eastAsia="Arial" w:hAnsi="Arial" w:cs="Arial"/>
          <w:color w:val="000000" w:themeColor="text1"/>
        </w:rPr>
      </w:pPr>
      <w:r w:rsidRPr="51E9A9B4">
        <w:rPr>
          <w:rFonts w:ascii="Arial" w:eastAsia="Arial" w:hAnsi="Arial" w:cs="Arial"/>
          <w:color w:val="000000" w:themeColor="text1"/>
        </w:rPr>
        <w:t>NES is committed to the principles of equality of opportunity in employment and believes that staff should receive equal pay for the same or broadly similar work, or work rated as equivalent and for work of equal value, regardless of their age, disability, ethnicity or race, gender reassignment, marital or civil partnership status, pregnancy, political beliefs, religion or belief, sex or sexual orientation.</w:t>
      </w:r>
    </w:p>
    <w:p w14:paraId="277FD75F" w14:textId="77777777" w:rsidR="00FC5B87" w:rsidRPr="008C48EC" w:rsidRDefault="00FC5B87" w:rsidP="00AF0A00">
      <w:pPr>
        <w:shd w:val="clear" w:color="auto" w:fill="FFFFFF" w:themeFill="background1"/>
        <w:spacing w:after="120" w:line="360" w:lineRule="auto"/>
        <w:rPr>
          <w:rFonts w:ascii="Arial" w:eastAsia="Arial" w:hAnsi="Arial" w:cs="Arial"/>
          <w:color w:val="000000" w:themeColor="text1"/>
        </w:rPr>
      </w:pPr>
      <w:r w:rsidRPr="4A954F25">
        <w:rPr>
          <w:rFonts w:ascii="Arial" w:eastAsia="Arial" w:hAnsi="Arial" w:cs="Arial"/>
          <w:color w:val="000000"/>
        </w:rPr>
        <w:t>NES understands that the right to equal pay between women and men is a legal right under both domestic and European Law. In addition, the Equality Act 2010 (Specific Duties)</w:t>
      </w:r>
      <w:r w:rsidR="00CD6B98" w:rsidRPr="4A954F25">
        <w:rPr>
          <w:rFonts w:ascii="Arial" w:eastAsia="Arial" w:hAnsi="Arial" w:cs="Arial"/>
          <w:color w:val="000000"/>
        </w:rPr>
        <w:t xml:space="preserve"> </w:t>
      </w:r>
      <w:r w:rsidRPr="4A954F25">
        <w:rPr>
          <w:rFonts w:ascii="Arial" w:eastAsia="Arial" w:hAnsi="Arial" w:cs="Arial"/>
          <w:color w:val="000000"/>
        </w:rPr>
        <w:t>(</w:t>
      </w:r>
      <w:smartTag w:uri="urn:schemas-microsoft-com:office:smarttags" w:element="place">
        <w:smartTag w:uri="urn:schemas-microsoft-com:office:smarttags" w:element="country-region">
          <w:r w:rsidRPr="4A954F25">
            <w:rPr>
              <w:rFonts w:ascii="Arial" w:eastAsia="Arial" w:hAnsi="Arial" w:cs="Arial"/>
              <w:color w:val="000000"/>
            </w:rPr>
            <w:t>Scotland</w:t>
          </w:r>
        </w:smartTag>
      </w:smartTag>
      <w:r w:rsidRPr="4A954F25">
        <w:rPr>
          <w:rFonts w:ascii="Arial" w:eastAsia="Arial" w:hAnsi="Arial" w:cs="Arial"/>
          <w:color w:val="000000"/>
        </w:rPr>
        <w:t>) Regulations</w:t>
      </w:r>
      <w:r w:rsidR="0083153A" w:rsidRPr="4A954F25">
        <w:rPr>
          <w:rStyle w:val="FootnoteReference"/>
          <w:rFonts w:ascii="Arial" w:eastAsia="Arial" w:hAnsi="Arial" w:cs="Arial"/>
          <w:color w:val="000000"/>
        </w:rPr>
        <w:footnoteReference w:id="2"/>
      </w:r>
      <w:r w:rsidRPr="4A954F25">
        <w:rPr>
          <w:rFonts w:ascii="Arial" w:eastAsia="Arial" w:hAnsi="Arial" w:cs="Arial"/>
          <w:color w:val="000000"/>
        </w:rPr>
        <w:t xml:space="preserve"> require NES to tak</w:t>
      </w:r>
      <w:r w:rsidR="00CD6B98" w:rsidRPr="4A954F25">
        <w:rPr>
          <w:rFonts w:ascii="Arial" w:eastAsia="Arial" w:hAnsi="Arial" w:cs="Arial"/>
          <w:color w:val="000000"/>
        </w:rPr>
        <w:t>e</w:t>
      </w:r>
      <w:r w:rsidRPr="4A954F25">
        <w:rPr>
          <w:rFonts w:ascii="Arial" w:eastAsia="Arial" w:hAnsi="Arial" w:cs="Arial"/>
          <w:color w:val="000000"/>
        </w:rPr>
        <w:t xml:space="preserve"> the following steps:</w:t>
      </w:r>
    </w:p>
    <w:p w14:paraId="277FD760" w14:textId="77777777" w:rsidR="00FC5B87" w:rsidRPr="008C48EC" w:rsidRDefault="51E9A9B4" w:rsidP="005D1546">
      <w:pPr>
        <w:numPr>
          <w:ilvl w:val="0"/>
          <w:numId w:val="20"/>
        </w:numPr>
        <w:shd w:val="clear" w:color="auto" w:fill="FFFFFF" w:themeFill="background1"/>
        <w:spacing w:after="120" w:line="360" w:lineRule="auto"/>
        <w:rPr>
          <w:rFonts w:ascii="Arial" w:eastAsia="Arial" w:hAnsi="Arial" w:cs="Arial"/>
          <w:color w:val="000000" w:themeColor="text1"/>
        </w:rPr>
      </w:pPr>
      <w:r w:rsidRPr="51E9A9B4">
        <w:rPr>
          <w:rFonts w:ascii="Arial" w:eastAsia="Arial" w:hAnsi="Arial" w:cs="Arial"/>
          <w:color w:val="000000" w:themeColor="text1"/>
        </w:rPr>
        <w:t>Publish gender pay gap information by 30 April 2013 and every two years thereafter, using the specific calculation set out in the Regulations.</w:t>
      </w:r>
    </w:p>
    <w:p w14:paraId="277FD761" w14:textId="77777777" w:rsidR="00FC5B87" w:rsidRDefault="51E9A9B4" w:rsidP="005D1546">
      <w:pPr>
        <w:numPr>
          <w:ilvl w:val="0"/>
          <w:numId w:val="20"/>
        </w:numPr>
        <w:shd w:val="clear" w:color="auto" w:fill="FFFFFF" w:themeFill="background1"/>
        <w:spacing w:after="120" w:line="360" w:lineRule="auto"/>
        <w:rPr>
          <w:rFonts w:ascii="Arial" w:eastAsia="Arial" w:hAnsi="Arial" w:cs="Arial"/>
          <w:color w:val="000000" w:themeColor="text1"/>
        </w:rPr>
      </w:pPr>
      <w:r w:rsidRPr="51E9A9B4">
        <w:rPr>
          <w:rFonts w:ascii="Arial" w:eastAsia="Arial" w:hAnsi="Arial" w:cs="Arial"/>
          <w:color w:val="000000" w:themeColor="text1"/>
        </w:rPr>
        <w:t>Publish a statement on equal pay between men and women; persons who are disabled and persons who are not; and persons who fall into a minority racial group and persons who do not, to be updated every four years.</w:t>
      </w:r>
    </w:p>
    <w:p w14:paraId="277FD762" w14:textId="77777777" w:rsidR="00630869" w:rsidRPr="00630869" w:rsidRDefault="51E9A9B4" w:rsidP="005D1546">
      <w:pPr>
        <w:numPr>
          <w:ilvl w:val="0"/>
          <w:numId w:val="20"/>
        </w:numPr>
        <w:shd w:val="clear" w:color="auto" w:fill="FFFFFF" w:themeFill="background1"/>
        <w:spacing w:after="120" w:line="360" w:lineRule="auto"/>
        <w:rPr>
          <w:rFonts w:ascii="Arial" w:eastAsia="Arial" w:hAnsi="Arial" w:cs="Arial"/>
          <w:color w:val="000000" w:themeColor="text1"/>
        </w:rPr>
      </w:pPr>
      <w:r w:rsidRPr="51E9A9B4">
        <w:rPr>
          <w:rFonts w:ascii="Arial" w:eastAsia="Arial" w:hAnsi="Arial" w:cs="Arial"/>
          <w:color w:val="000000" w:themeColor="text1"/>
        </w:rPr>
        <w:t xml:space="preserve">Publish information on occupational segregation among its employees, being the concentration of men and women; persons who are disabled and persons who are not; and persons who fall into a minority racial group and persons who do not, to be updated every four years. </w:t>
      </w:r>
    </w:p>
    <w:p w14:paraId="277FD763" w14:textId="77777777" w:rsidR="00FC5B87" w:rsidRDefault="51E9A9B4" w:rsidP="00AF0A00">
      <w:pPr>
        <w:shd w:val="clear" w:color="auto" w:fill="FFFFFF" w:themeFill="background1"/>
        <w:spacing w:after="120" w:line="360" w:lineRule="auto"/>
        <w:rPr>
          <w:rFonts w:ascii="Arial" w:eastAsia="Arial" w:hAnsi="Arial" w:cs="Arial"/>
          <w:color w:val="000000" w:themeColor="text1"/>
        </w:rPr>
      </w:pPr>
      <w:r w:rsidRPr="51E9A9B4">
        <w:rPr>
          <w:rFonts w:ascii="Arial" w:eastAsia="Arial" w:hAnsi="Arial" w:cs="Arial"/>
          <w:color w:val="000000" w:themeColor="text1"/>
        </w:rPr>
        <w:t xml:space="preserve">NES recognises that in order to achieve equal pay for employees doing the same or broadly similar work, work rated as equivalent, or work of equal value, it should operate </w:t>
      </w:r>
      <w:r w:rsidRPr="51E9A9B4">
        <w:rPr>
          <w:rFonts w:ascii="Arial" w:eastAsia="Arial" w:hAnsi="Arial" w:cs="Arial"/>
          <w:color w:val="000000" w:themeColor="text1"/>
        </w:rPr>
        <w:lastRenderedPageBreak/>
        <w:t>pay systems which are transparent, based on objective criteria and free from unlawful bias.</w:t>
      </w:r>
    </w:p>
    <w:p w14:paraId="277FD764" w14:textId="1183940B" w:rsidR="00630869" w:rsidRDefault="00630869" w:rsidP="00AF0A00">
      <w:pPr>
        <w:shd w:val="clear" w:color="auto" w:fill="FFFFFF" w:themeFill="background1"/>
        <w:spacing w:after="120" w:line="360" w:lineRule="auto"/>
        <w:rPr>
          <w:rFonts w:ascii="Arial" w:eastAsia="Arial" w:hAnsi="Arial" w:cs="Arial"/>
          <w:color w:val="000000"/>
        </w:rPr>
      </w:pPr>
      <w:r w:rsidRPr="4A954F25">
        <w:rPr>
          <w:rFonts w:ascii="Arial" w:eastAsia="Arial" w:hAnsi="Arial" w:cs="Arial"/>
          <w:color w:val="000000"/>
        </w:rPr>
        <w:t xml:space="preserve">NES also recognises </w:t>
      </w:r>
      <w:r w:rsidR="00A97EFC" w:rsidRPr="4A954F25">
        <w:rPr>
          <w:rFonts w:ascii="Arial" w:eastAsia="Arial" w:hAnsi="Arial" w:cs="Arial"/>
          <w:color w:val="000000"/>
        </w:rPr>
        <w:t xml:space="preserve">underlying drivers of pay inequality, including occupational segregation, inequality of unpaid care between men and women, lack of flexible working opportunities, and </w:t>
      </w:r>
      <w:r w:rsidR="007E4CFB">
        <w:rPr>
          <w:rFonts w:ascii="Arial" w:eastAsia="Arial" w:hAnsi="Arial" w:cs="Arial"/>
          <w:color w:val="000000"/>
        </w:rPr>
        <w:t xml:space="preserve">stereotypes and </w:t>
      </w:r>
      <w:r w:rsidR="00A97EFC" w:rsidRPr="4A954F25">
        <w:rPr>
          <w:rFonts w:ascii="Arial" w:eastAsia="Arial" w:hAnsi="Arial" w:cs="Arial"/>
          <w:color w:val="000000"/>
        </w:rPr>
        <w:t>traditional social attitudes</w:t>
      </w:r>
      <w:r w:rsidR="00A97EFC" w:rsidRPr="4A954F25">
        <w:rPr>
          <w:rStyle w:val="FootnoteReference"/>
          <w:rFonts w:ascii="Arial" w:eastAsia="Arial" w:hAnsi="Arial" w:cs="Arial"/>
          <w:color w:val="000000"/>
        </w:rPr>
        <w:footnoteReference w:id="3"/>
      </w:r>
      <w:r w:rsidR="00A97EFC" w:rsidRPr="4A954F25">
        <w:rPr>
          <w:rFonts w:ascii="Arial" w:eastAsia="Arial" w:hAnsi="Arial" w:cs="Arial"/>
          <w:color w:val="000000"/>
        </w:rPr>
        <w:t>,</w:t>
      </w:r>
      <w:r w:rsidR="00DE13EF">
        <w:rPr>
          <w:rFonts w:ascii="Arial" w:eastAsia="Arial" w:hAnsi="Arial" w:cs="Arial"/>
          <w:color w:val="000000"/>
        </w:rPr>
        <w:t xml:space="preserve"> </w:t>
      </w:r>
      <w:r w:rsidR="00F34E98">
        <w:rPr>
          <w:rFonts w:ascii="Arial" w:eastAsia="Arial" w:hAnsi="Arial" w:cs="Arial"/>
          <w:color w:val="000000"/>
        </w:rPr>
        <w:t>workplace cultures which are not inclusive</w:t>
      </w:r>
      <w:r w:rsidR="00DA116D">
        <w:rPr>
          <w:rFonts w:ascii="Arial" w:eastAsia="Arial" w:hAnsi="Arial" w:cs="Arial"/>
          <w:color w:val="000000"/>
        </w:rPr>
        <w:t>, experiences of bullying and harassment, differential access to development and sponsorship opportunities</w:t>
      </w:r>
      <w:r w:rsidR="00EC029E">
        <w:rPr>
          <w:rStyle w:val="FootnoteReference"/>
          <w:rFonts w:ascii="Arial" w:eastAsia="Arial" w:hAnsi="Arial" w:cs="Arial"/>
          <w:color w:val="000000"/>
        </w:rPr>
        <w:footnoteReference w:id="4"/>
      </w:r>
      <w:r w:rsidR="00A97EFC" w:rsidRPr="4A954F25">
        <w:rPr>
          <w:rFonts w:ascii="Arial" w:eastAsia="Arial" w:hAnsi="Arial" w:cs="Arial"/>
          <w:color w:val="000000"/>
        </w:rPr>
        <w:t xml:space="preserve"> and will take steps</w:t>
      </w:r>
      <w:r w:rsidR="008C638D" w:rsidRPr="4A954F25">
        <w:rPr>
          <w:rFonts w:ascii="Arial" w:eastAsia="Arial" w:hAnsi="Arial" w:cs="Arial"/>
          <w:color w:val="000000"/>
        </w:rPr>
        <w:t xml:space="preserve"> with</w:t>
      </w:r>
      <w:r w:rsidR="003F55FE">
        <w:rPr>
          <w:rFonts w:ascii="Arial" w:eastAsia="Arial" w:hAnsi="Arial" w:cs="Arial"/>
          <w:color w:val="000000"/>
        </w:rPr>
        <w:t>in</w:t>
      </w:r>
      <w:r w:rsidR="008C638D" w:rsidRPr="4A954F25">
        <w:rPr>
          <w:rFonts w:ascii="Arial" w:eastAsia="Arial" w:hAnsi="Arial" w:cs="Arial"/>
          <w:color w:val="000000"/>
        </w:rPr>
        <w:t xml:space="preserve"> its remit</w:t>
      </w:r>
      <w:r w:rsidR="00A97EFC" w:rsidRPr="4A954F25">
        <w:rPr>
          <w:rFonts w:ascii="Arial" w:eastAsia="Arial" w:hAnsi="Arial" w:cs="Arial"/>
          <w:color w:val="000000"/>
        </w:rPr>
        <w:t xml:space="preserve"> to address these factors in ways that achieve the aims of the NHSScotland Staff Governance Standard</w:t>
      </w:r>
      <w:r w:rsidR="00A97EFC" w:rsidRPr="4A954F25">
        <w:rPr>
          <w:rStyle w:val="FootnoteReference"/>
          <w:rFonts w:ascii="Arial" w:eastAsia="Arial" w:hAnsi="Arial" w:cs="Arial"/>
          <w:color w:val="000000"/>
        </w:rPr>
        <w:footnoteReference w:id="5"/>
      </w:r>
      <w:r w:rsidR="00A97EFC" w:rsidRPr="4A954F25">
        <w:rPr>
          <w:rFonts w:ascii="Arial" w:eastAsia="Arial" w:hAnsi="Arial" w:cs="Arial"/>
          <w:color w:val="000000"/>
        </w:rPr>
        <w:t xml:space="preserve"> and the Equality Duty</w:t>
      </w:r>
      <w:r w:rsidR="00A97EFC" w:rsidRPr="4A954F25">
        <w:rPr>
          <w:rStyle w:val="FootnoteReference"/>
          <w:rFonts w:ascii="Arial" w:eastAsia="Arial" w:hAnsi="Arial" w:cs="Arial"/>
          <w:color w:val="000000"/>
        </w:rPr>
        <w:footnoteReference w:id="6"/>
      </w:r>
      <w:r w:rsidR="00A97EFC" w:rsidRPr="4A954F25">
        <w:rPr>
          <w:rFonts w:ascii="Arial" w:eastAsia="Arial" w:hAnsi="Arial" w:cs="Arial"/>
          <w:color w:val="000000"/>
        </w:rPr>
        <w:t>.</w:t>
      </w:r>
    </w:p>
    <w:p w14:paraId="277FD765" w14:textId="7B0CDBC1" w:rsidR="0076204A" w:rsidRDefault="51E9A9B4" w:rsidP="00AF0A00">
      <w:pPr>
        <w:shd w:val="clear" w:color="auto" w:fill="FFFFFF" w:themeFill="background1"/>
        <w:spacing w:after="120" w:line="360" w:lineRule="auto"/>
        <w:rPr>
          <w:rFonts w:ascii="Arial" w:eastAsia="Arial" w:hAnsi="Arial" w:cs="Arial"/>
          <w:color w:val="000000" w:themeColor="text1"/>
        </w:rPr>
      </w:pPr>
      <w:r w:rsidRPr="51E9A9B4">
        <w:rPr>
          <w:rFonts w:ascii="Arial" w:eastAsia="Arial" w:hAnsi="Arial" w:cs="Arial"/>
          <w:color w:val="000000" w:themeColor="text1"/>
        </w:rPr>
        <w:t>It is good practice and reflects the values of NES that pay is awarded fairly and equitably.</w:t>
      </w:r>
    </w:p>
    <w:p w14:paraId="2F70C336" w14:textId="77777777" w:rsidR="00737D69" w:rsidRPr="005D1546" w:rsidRDefault="00737D69" w:rsidP="00737D69">
      <w:pPr>
        <w:spacing w:line="360" w:lineRule="auto"/>
        <w:rPr>
          <w:rFonts w:ascii="Arial" w:hAnsi="Arial" w:cs="Arial"/>
          <w:b/>
          <w:bCs/>
          <w:color w:val="000000"/>
        </w:rPr>
      </w:pPr>
      <w:r w:rsidRPr="005D1546">
        <w:rPr>
          <w:rFonts w:ascii="Arial" w:hAnsi="Arial" w:cs="Arial"/>
          <w:b/>
          <w:bCs/>
          <w:color w:val="000000"/>
        </w:rPr>
        <w:t>Covid 19 and implications for equal pay</w:t>
      </w:r>
    </w:p>
    <w:p w14:paraId="13FDC696" w14:textId="18EF693A" w:rsidR="00737D69" w:rsidRDefault="00737D69" w:rsidP="00737D69">
      <w:pPr>
        <w:spacing w:line="360" w:lineRule="auto"/>
        <w:rPr>
          <w:rFonts w:ascii="Arial" w:hAnsi="Arial" w:cs="Arial"/>
          <w:color w:val="000000"/>
        </w:rPr>
      </w:pPr>
      <w:r w:rsidRPr="00F87521">
        <w:rPr>
          <w:rFonts w:ascii="Arial" w:hAnsi="Arial" w:cs="Arial"/>
          <w:color w:val="000000"/>
        </w:rPr>
        <w:t xml:space="preserve">The global pandemic has had and will continue to have a seismic impact on work, health and care systems and the labour market. In NES we have established a People Recovery Group to consider the impact of the pandemic on our employees and working practices as the pandemic progresses through the recovery and renewal stages. </w:t>
      </w:r>
      <w:r w:rsidR="00AD5907">
        <w:rPr>
          <w:rFonts w:ascii="Arial" w:hAnsi="Arial" w:cs="Arial"/>
          <w:color w:val="000000"/>
        </w:rPr>
        <w:t xml:space="preserve">Data </w:t>
      </w:r>
      <w:r w:rsidRPr="00F87521">
        <w:rPr>
          <w:rFonts w:ascii="Arial" w:hAnsi="Arial" w:cs="Arial"/>
          <w:color w:val="000000"/>
        </w:rPr>
        <w:t>demonstrates the disproportionate impact that the pandemic is having on groups across our society, including economic impact, health impact and impact on those with caring responsibilities.</w:t>
      </w:r>
      <w:r w:rsidR="009623AF">
        <w:rPr>
          <w:rStyle w:val="FootnoteReference"/>
          <w:rFonts w:ascii="Arial" w:hAnsi="Arial" w:cs="Arial"/>
          <w:color w:val="000000"/>
        </w:rPr>
        <w:footnoteReference w:id="7"/>
      </w:r>
      <w:r w:rsidRPr="00F87521">
        <w:rPr>
          <w:rFonts w:ascii="Arial" w:hAnsi="Arial" w:cs="Arial"/>
          <w:color w:val="000000"/>
        </w:rPr>
        <w:t xml:space="preserve"> </w:t>
      </w:r>
    </w:p>
    <w:p w14:paraId="56DD6BDE" w14:textId="77777777" w:rsidR="00B01815" w:rsidRPr="00F87521" w:rsidRDefault="00B01815" w:rsidP="00737D69">
      <w:pPr>
        <w:spacing w:line="360" w:lineRule="auto"/>
        <w:rPr>
          <w:rFonts w:ascii="Arial" w:hAnsi="Arial" w:cs="Arial"/>
          <w:color w:val="000000"/>
        </w:rPr>
      </w:pPr>
    </w:p>
    <w:p w14:paraId="09B8256A" w14:textId="77777777" w:rsidR="00737D69" w:rsidRPr="00F87521" w:rsidRDefault="00737D69" w:rsidP="00737D69">
      <w:pPr>
        <w:spacing w:line="360" w:lineRule="auto"/>
        <w:rPr>
          <w:rFonts w:ascii="Arial" w:hAnsi="Arial" w:cs="Arial"/>
          <w:color w:val="000000"/>
        </w:rPr>
      </w:pPr>
      <w:r w:rsidRPr="00F87521">
        <w:rPr>
          <w:rFonts w:ascii="Arial" w:hAnsi="Arial" w:cs="Arial"/>
          <w:color w:val="000000"/>
        </w:rPr>
        <w:t xml:space="preserve">The NES Recovery work is underpinned by maintaining connection with our staff. Through implementation of an employee engagement application, Trickle, we will hear directly and regularly, in real time from our staff about what is important to them and causing them the most concern. The continuation of developing Our Ways of Working and values; smarter working and supporting the health and wellbeing of our staff will also be key in ensuring the NES workforce are treated fairly. </w:t>
      </w:r>
    </w:p>
    <w:p w14:paraId="787FFA78" w14:textId="77777777" w:rsidR="00737D69" w:rsidRPr="00F87521" w:rsidRDefault="00737D69" w:rsidP="00737D69">
      <w:pPr>
        <w:spacing w:line="360" w:lineRule="auto"/>
        <w:rPr>
          <w:rFonts w:ascii="Arial" w:hAnsi="Arial" w:cs="Arial"/>
          <w:color w:val="000000"/>
        </w:rPr>
      </w:pPr>
    </w:p>
    <w:p w14:paraId="60B8B8D1" w14:textId="77777777" w:rsidR="00737D69" w:rsidRPr="00F87521" w:rsidRDefault="00737D69" w:rsidP="00737D69">
      <w:pPr>
        <w:spacing w:line="360" w:lineRule="auto"/>
        <w:rPr>
          <w:rFonts w:ascii="Arial" w:hAnsi="Arial" w:cs="Arial"/>
          <w:color w:val="000000"/>
        </w:rPr>
      </w:pPr>
      <w:r w:rsidRPr="00F87521">
        <w:rPr>
          <w:rFonts w:ascii="Arial" w:hAnsi="Arial" w:cs="Arial"/>
          <w:color w:val="000000"/>
        </w:rPr>
        <w:lastRenderedPageBreak/>
        <w:t>Equal pay is pivotal in ensuring that as an employer we are able to support the recovery of the economy and labour market, leading to a diverse and inclusive workforce. Through regular engagement with our networks set up for disabled staff, minority ethnic staff, parents and carers, combined with people analytics data we can work to ensure that we understand how new ways of working impacts different groups.  Aligned to the Fair Work Framework, we will also continue to look for opportunities to support our agency and fixed term workforce throughout the pandemic.</w:t>
      </w:r>
    </w:p>
    <w:p w14:paraId="694A22F2" w14:textId="77777777" w:rsidR="00AF0A00" w:rsidRDefault="00AF0A00" w:rsidP="00AF0A00">
      <w:pPr>
        <w:shd w:val="clear" w:color="auto" w:fill="FFFFFF" w:themeFill="background1"/>
        <w:spacing w:after="120" w:line="360" w:lineRule="auto"/>
        <w:rPr>
          <w:rFonts w:ascii="Arial" w:hAnsi="Arial" w:cs="Arial"/>
          <w:b/>
          <w:bCs/>
          <w:color w:val="000000"/>
        </w:rPr>
      </w:pPr>
    </w:p>
    <w:p w14:paraId="0DA4CEB1" w14:textId="60CAC43C" w:rsidR="00AF0A00" w:rsidRPr="005D1546" w:rsidRDefault="51E9A9B4" w:rsidP="00AF0A00">
      <w:pPr>
        <w:shd w:val="clear" w:color="auto" w:fill="FFFFFF" w:themeFill="background1"/>
        <w:spacing w:after="120" w:line="360" w:lineRule="auto"/>
        <w:rPr>
          <w:rFonts w:ascii="Arial" w:eastAsia="Arial" w:hAnsi="Arial" w:cs="Arial"/>
          <w:b/>
          <w:bCs/>
          <w:color w:val="000000" w:themeColor="text1"/>
          <w:sz w:val="28"/>
          <w:szCs w:val="32"/>
        </w:rPr>
      </w:pPr>
      <w:r w:rsidRPr="00AF0A00">
        <w:rPr>
          <w:rFonts w:ascii="Arial" w:eastAsia="Arial" w:hAnsi="Arial" w:cs="Arial"/>
          <w:b/>
          <w:bCs/>
          <w:color w:val="000000" w:themeColor="text1"/>
          <w:sz w:val="28"/>
          <w:szCs w:val="32"/>
        </w:rPr>
        <w:t>In line with the General Duty of the Equality Act 2010, our objectives are to:</w:t>
      </w:r>
    </w:p>
    <w:p w14:paraId="277FD767" w14:textId="77777777" w:rsidR="00FC5B87" w:rsidRPr="008C48EC" w:rsidRDefault="51E9A9B4" w:rsidP="005D1546">
      <w:pPr>
        <w:numPr>
          <w:ilvl w:val="0"/>
          <w:numId w:val="21"/>
        </w:numPr>
        <w:shd w:val="clear" w:color="auto" w:fill="FFFFFF" w:themeFill="background1"/>
        <w:spacing w:after="120" w:line="360" w:lineRule="auto"/>
        <w:rPr>
          <w:rFonts w:ascii="Arial" w:eastAsia="Arial" w:hAnsi="Arial" w:cs="Arial"/>
          <w:color w:val="000000" w:themeColor="text1"/>
        </w:rPr>
      </w:pPr>
      <w:r w:rsidRPr="51E9A9B4">
        <w:rPr>
          <w:rFonts w:ascii="Arial" w:eastAsia="Arial" w:hAnsi="Arial" w:cs="Arial"/>
          <w:color w:val="000000" w:themeColor="text1"/>
        </w:rPr>
        <w:t>Eliminate unfair, unjust or unlawful practices and other discrimination that impact on pay equality.</w:t>
      </w:r>
    </w:p>
    <w:p w14:paraId="277FD768" w14:textId="77777777" w:rsidR="00FC5B87" w:rsidRPr="008C48EC" w:rsidRDefault="51E9A9B4" w:rsidP="005D1546">
      <w:pPr>
        <w:numPr>
          <w:ilvl w:val="0"/>
          <w:numId w:val="21"/>
        </w:numPr>
        <w:shd w:val="clear" w:color="auto" w:fill="FFFFFF" w:themeFill="background1"/>
        <w:spacing w:after="120" w:line="360" w:lineRule="auto"/>
        <w:rPr>
          <w:rFonts w:ascii="Arial" w:eastAsia="Arial" w:hAnsi="Arial" w:cs="Arial"/>
          <w:color w:val="000000" w:themeColor="text1"/>
        </w:rPr>
      </w:pPr>
      <w:r w:rsidRPr="51E9A9B4">
        <w:rPr>
          <w:rFonts w:ascii="Arial" w:eastAsia="Arial" w:hAnsi="Arial" w:cs="Arial"/>
          <w:color w:val="000000" w:themeColor="text1"/>
        </w:rPr>
        <w:t>Promote equality of opportunity and the principles of equal pay throughout the workforce.</w:t>
      </w:r>
    </w:p>
    <w:p w14:paraId="0973E2D9" w14:textId="5894408A" w:rsidR="00AF0A00" w:rsidRPr="005D1546" w:rsidRDefault="51E9A9B4" w:rsidP="005D1546">
      <w:pPr>
        <w:pStyle w:val="ListParagraph"/>
        <w:numPr>
          <w:ilvl w:val="0"/>
          <w:numId w:val="21"/>
        </w:numPr>
        <w:shd w:val="clear" w:color="auto" w:fill="FFFFFF"/>
        <w:spacing w:after="120" w:line="360" w:lineRule="auto"/>
        <w:rPr>
          <w:rFonts w:ascii="Arial" w:eastAsia="Arial" w:hAnsi="Arial" w:cs="Arial"/>
          <w:color w:val="000000" w:themeColor="text1"/>
        </w:rPr>
      </w:pPr>
      <w:r w:rsidRPr="0017212B">
        <w:rPr>
          <w:rFonts w:ascii="Arial" w:eastAsia="Arial" w:hAnsi="Arial" w:cs="Arial"/>
          <w:color w:val="000000" w:themeColor="text1"/>
        </w:rPr>
        <w:t>Promote good relations between people sharing different protected characteristics in the implementation of equal pay.</w:t>
      </w:r>
    </w:p>
    <w:p w14:paraId="36401EB5" w14:textId="5A220EF7" w:rsidR="00AF0A00" w:rsidRPr="005D1546" w:rsidRDefault="51E9A9B4" w:rsidP="00AF0A00">
      <w:pPr>
        <w:shd w:val="clear" w:color="auto" w:fill="FFFFFF" w:themeFill="background1"/>
        <w:spacing w:after="120" w:line="360" w:lineRule="auto"/>
        <w:rPr>
          <w:rFonts w:ascii="Arial" w:eastAsia="Arial" w:hAnsi="Arial" w:cs="Arial"/>
          <w:b/>
          <w:bCs/>
          <w:color w:val="000000" w:themeColor="text1"/>
          <w:sz w:val="28"/>
          <w:szCs w:val="32"/>
        </w:rPr>
      </w:pPr>
      <w:r w:rsidRPr="00AF0A00">
        <w:rPr>
          <w:rFonts w:ascii="Arial" w:eastAsia="Arial" w:hAnsi="Arial" w:cs="Arial"/>
          <w:b/>
          <w:bCs/>
          <w:color w:val="000000" w:themeColor="text1"/>
          <w:sz w:val="28"/>
          <w:szCs w:val="32"/>
        </w:rPr>
        <w:t>We will</w:t>
      </w:r>
      <w:r w:rsidRPr="005933CA">
        <w:rPr>
          <w:rFonts w:ascii="Arial" w:eastAsia="Arial" w:hAnsi="Arial" w:cs="Arial"/>
          <w:b/>
          <w:bCs/>
          <w:color w:val="000000" w:themeColor="text1"/>
          <w:sz w:val="28"/>
          <w:szCs w:val="32"/>
        </w:rPr>
        <w:t>:</w:t>
      </w:r>
    </w:p>
    <w:p w14:paraId="277FD76B" w14:textId="77777777" w:rsidR="00FC5B87" w:rsidRPr="008C48EC" w:rsidRDefault="51E9A9B4" w:rsidP="005D1546">
      <w:pPr>
        <w:numPr>
          <w:ilvl w:val="0"/>
          <w:numId w:val="22"/>
        </w:numPr>
        <w:shd w:val="clear" w:color="auto" w:fill="FFFFFF" w:themeFill="background1"/>
        <w:spacing w:after="120" w:line="360" w:lineRule="auto"/>
        <w:rPr>
          <w:rFonts w:ascii="Arial" w:eastAsia="Arial" w:hAnsi="Arial" w:cs="Arial"/>
          <w:color w:val="000000" w:themeColor="text1"/>
        </w:rPr>
      </w:pPr>
      <w:r w:rsidRPr="51E9A9B4">
        <w:rPr>
          <w:rFonts w:ascii="Arial" w:eastAsia="Arial" w:hAnsi="Arial" w:cs="Arial"/>
          <w:color w:val="000000" w:themeColor="text1"/>
        </w:rPr>
        <w:t>Review this policy, statement and action points, in partnership, with trade unions and professional organisations as appropriate, every two years and update our report within four years;</w:t>
      </w:r>
    </w:p>
    <w:p w14:paraId="277FD76C" w14:textId="77777777" w:rsidR="00FC5B87" w:rsidRPr="008C48EC" w:rsidRDefault="51E9A9B4" w:rsidP="005D1546">
      <w:pPr>
        <w:numPr>
          <w:ilvl w:val="0"/>
          <w:numId w:val="22"/>
        </w:numPr>
        <w:shd w:val="clear" w:color="auto" w:fill="FFFFFF" w:themeFill="background1"/>
        <w:spacing w:after="120" w:line="360" w:lineRule="auto"/>
        <w:rPr>
          <w:rFonts w:ascii="Arial" w:eastAsia="Arial" w:hAnsi="Arial" w:cs="Arial"/>
          <w:color w:val="000000" w:themeColor="text1"/>
        </w:rPr>
      </w:pPr>
      <w:r w:rsidRPr="51E9A9B4">
        <w:rPr>
          <w:rFonts w:ascii="Arial" w:eastAsia="Arial" w:hAnsi="Arial" w:cs="Arial"/>
          <w:color w:val="000000" w:themeColor="text1"/>
        </w:rPr>
        <w:t>Inform employees as to how pay practices work and how their own pay is determined;</w:t>
      </w:r>
    </w:p>
    <w:p w14:paraId="277FD76D" w14:textId="77777777" w:rsidR="00FC5B87" w:rsidRPr="008C48EC" w:rsidRDefault="51E9A9B4" w:rsidP="005D1546">
      <w:pPr>
        <w:numPr>
          <w:ilvl w:val="0"/>
          <w:numId w:val="22"/>
        </w:numPr>
        <w:shd w:val="clear" w:color="auto" w:fill="FFFFFF" w:themeFill="background1"/>
        <w:spacing w:after="120" w:line="360" w:lineRule="auto"/>
        <w:rPr>
          <w:rFonts w:ascii="Arial" w:eastAsia="Arial" w:hAnsi="Arial" w:cs="Arial"/>
          <w:color w:val="000000" w:themeColor="text1"/>
        </w:rPr>
      </w:pPr>
      <w:r w:rsidRPr="51E9A9B4">
        <w:rPr>
          <w:rFonts w:ascii="Arial" w:eastAsia="Arial" w:hAnsi="Arial" w:cs="Arial"/>
          <w:color w:val="000000" w:themeColor="text1"/>
        </w:rPr>
        <w:t>Ensure managers are provided with guidance and advice regarding decisions about pay, benefits and grading;</w:t>
      </w:r>
    </w:p>
    <w:p w14:paraId="277FD76E" w14:textId="77777777" w:rsidR="00FC5B87" w:rsidRDefault="51E9A9B4" w:rsidP="005D1546">
      <w:pPr>
        <w:numPr>
          <w:ilvl w:val="0"/>
          <w:numId w:val="22"/>
        </w:numPr>
        <w:shd w:val="clear" w:color="auto" w:fill="FFFFFF" w:themeFill="background1"/>
        <w:spacing w:after="120" w:line="360" w:lineRule="auto"/>
        <w:rPr>
          <w:rFonts w:ascii="Arial" w:eastAsia="Arial" w:hAnsi="Arial" w:cs="Arial"/>
          <w:color w:val="000000" w:themeColor="text1"/>
        </w:rPr>
      </w:pPr>
      <w:r w:rsidRPr="51E9A9B4">
        <w:rPr>
          <w:rFonts w:ascii="Arial" w:eastAsia="Arial" w:hAnsi="Arial" w:cs="Arial"/>
          <w:color w:val="000000" w:themeColor="text1"/>
        </w:rPr>
        <w:t>Continually review the implementation of our existing and future pay practices for all our employees, including part-time workers, those on fixed term contracts or contracts of unspecified duration, and those on pregnancy, maternity or other authorised leave;</w:t>
      </w:r>
    </w:p>
    <w:p w14:paraId="277FD76F" w14:textId="77777777" w:rsidR="003F55FE" w:rsidRPr="008C48EC" w:rsidRDefault="003F55FE" w:rsidP="005D1546">
      <w:pPr>
        <w:numPr>
          <w:ilvl w:val="0"/>
          <w:numId w:val="22"/>
        </w:numPr>
        <w:shd w:val="clear" w:color="auto" w:fill="FFFFFF" w:themeFill="background1"/>
        <w:spacing w:after="120" w:line="360" w:lineRule="auto"/>
        <w:rPr>
          <w:rFonts w:ascii="Arial" w:eastAsia="Arial" w:hAnsi="Arial" w:cs="Arial"/>
          <w:color w:val="000000" w:themeColor="text1"/>
        </w:rPr>
      </w:pPr>
      <w:r>
        <w:rPr>
          <w:rFonts w:ascii="Arial" w:eastAsia="Arial" w:hAnsi="Arial" w:cs="Arial"/>
          <w:color w:val="000000" w:themeColor="text1"/>
        </w:rPr>
        <w:lastRenderedPageBreak/>
        <w:t>Continue to monitor the impact of job role harmonisation and job evaluation schemes, as well as promotions and the outcomes of re-evaluations to ensure equality of opportunity;</w:t>
      </w:r>
    </w:p>
    <w:p w14:paraId="277FD770" w14:textId="77777777" w:rsidR="00FC5B87" w:rsidRPr="008C48EC" w:rsidRDefault="51E9A9B4" w:rsidP="005D1546">
      <w:pPr>
        <w:numPr>
          <w:ilvl w:val="0"/>
          <w:numId w:val="22"/>
        </w:numPr>
        <w:shd w:val="clear" w:color="auto" w:fill="FFFFFF" w:themeFill="background1"/>
        <w:spacing w:after="120" w:line="360" w:lineRule="auto"/>
        <w:rPr>
          <w:rFonts w:ascii="Arial" w:eastAsia="Arial" w:hAnsi="Arial" w:cs="Arial"/>
          <w:color w:val="000000" w:themeColor="text1"/>
        </w:rPr>
      </w:pPr>
      <w:r w:rsidRPr="51E9A9B4">
        <w:rPr>
          <w:rFonts w:ascii="Arial" w:eastAsia="Arial" w:hAnsi="Arial" w:cs="Arial"/>
          <w:color w:val="000000" w:themeColor="text1"/>
        </w:rPr>
        <w:t>Undertake regular monitoring of the impact of our practices in line with the requirements of the Equality Act 2010;</w:t>
      </w:r>
    </w:p>
    <w:p w14:paraId="277FD771" w14:textId="77777777" w:rsidR="000238E0" w:rsidRDefault="51E9A9B4" w:rsidP="005D1546">
      <w:pPr>
        <w:numPr>
          <w:ilvl w:val="0"/>
          <w:numId w:val="22"/>
        </w:numPr>
        <w:shd w:val="clear" w:color="auto" w:fill="FFFFFF" w:themeFill="background1"/>
        <w:spacing w:after="120" w:line="360" w:lineRule="auto"/>
        <w:rPr>
          <w:rFonts w:ascii="Arial" w:eastAsia="Arial" w:hAnsi="Arial" w:cs="Arial"/>
          <w:color w:val="000000" w:themeColor="text1"/>
        </w:rPr>
      </w:pPr>
      <w:r w:rsidRPr="51E9A9B4">
        <w:rPr>
          <w:rFonts w:ascii="Arial" w:eastAsia="Arial" w:hAnsi="Arial" w:cs="Arial"/>
          <w:color w:val="000000" w:themeColor="text1"/>
        </w:rPr>
        <w:t>Consider, and where appropriate, undertake a planned programme of equal pay reviews in line with guidance to be developed in partnership with the relevant trade unions and professional organisations;</w:t>
      </w:r>
    </w:p>
    <w:p w14:paraId="277FD772" w14:textId="77777777" w:rsidR="00FC5B87" w:rsidRPr="00D406D8" w:rsidRDefault="51E9A9B4" w:rsidP="005D1546">
      <w:pPr>
        <w:numPr>
          <w:ilvl w:val="0"/>
          <w:numId w:val="22"/>
        </w:numPr>
        <w:shd w:val="clear" w:color="auto" w:fill="FFFFFF" w:themeFill="background1"/>
        <w:spacing w:after="120" w:line="360" w:lineRule="auto"/>
        <w:rPr>
          <w:rFonts w:ascii="Arial" w:eastAsia="Arial" w:hAnsi="Arial" w:cs="Arial"/>
          <w:color w:val="000000" w:themeColor="text1"/>
        </w:rPr>
      </w:pPr>
      <w:r w:rsidRPr="00D406D8">
        <w:rPr>
          <w:rFonts w:ascii="Arial" w:eastAsia="Arial" w:hAnsi="Arial" w:cs="Arial"/>
          <w:color w:val="000000" w:themeColor="text1"/>
        </w:rPr>
        <w:t>Empower staff and managers to work flexibly and effectively with a focus on outcomes, supporting flexible and agile working arrangements and work-life balance;</w:t>
      </w:r>
    </w:p>
    <w:p w14:paraId="277FD773" w14:textId="4C2BC75F" w:rsidR="00995240" w:rsidRDefault="51E9A9B4" w:rsidP="005D1546">
      <w:pPr>
        <w:numPr>
          <w:ilvl w:val="0"/>
          <w:numId w:val="22"/>
        </w:numPr>
        <w:shd w:val="clear" w:color="auto" w:fill="FFFFFF" w:themeFill="background1"/>
        <w:spacing w:after="120" w:line="360" w:lineRule="auto"/>
        <w:rPr>
          <w:rFonts w:ascii="Arial" w:eastAsia="Arial" w:hAnsi="Arial" w:cs="Arial"/>
          <w:color w:val="000000" w:themeColor="text1"/>
        </w:rPr>
      </w:pPr>
      <w:r w:rsidRPr="00D406D8">
        <w:rPr>
          <w:rFonts w:ascii="Arial" w:eastAsia="Arial" w:hAnsi="Arial" w:cs="Arial"/>
          <w:color w:val="000000" w:themeColor="text1"/>
        </w:rPr>
        <w:t>Continue to progress through the Carer Positive Framework to support carers in the workplace;</w:t>
      </w:r>
    </w:p>
    <w:p w14:paraId="468C55E3" w14:textId="40E2D014" w:rsidR="008006FA" w:rsidRPr="00D406D8" w:rsidRDefault="008006FA" w:rsidP="005D1546">
      <w:pPr>
        <w:numPr>
          <w:ilvl w:val="0"/>
          <w:numId w:val="22"/>
        </w:numPr>
        <w:shd w:val="clear" w:color="auto" w:fill="FFFFFF" w:themeFill="background1"/>
        <w:spacing w:after="120" w:line="360" w:lineRule="auto"/>
        <w:rPr>
          <w:rFonts w:ascii="Arial" w:eastAsia="Arial" w:hAnsi="Arial" w:cs="Arial"/>
          <w:color w:val="000000" w:themeColor="text1"/>
        </w:rPr>
      </w:pPr>
      <w:r>
        <w:rPr>
          <w:rFonts w:ascii="Arial" w:eastAsia="Arial" w:hAnsi="Arial" w:cs="Arial"/>
          <w:color w:val="000000" w:themeColor="text1"/>
        </w:rPr>
        <w:t>Support parents</w:t>
      </w:r>
      <w:r w:rsidR="00081A11">
        <w:rPr>
          <w:rFonts w:ascii="Arial" w:eastAsia="Arial" w:hAnsi="Arial" w:cs="Arial"/>
          <w:color w:val="000000" w:themeColor="text1"/>
        </w:rPr>
        <w:t xml:space="preserve"> in the workplace through</w:t>
      </w:r>
      <w:r w:rsidR="00173B71">
        <w:rPr>
          <w:rFonts w:ascii="Arial" w:eastAsia="Arial" w:hAnsi="Arial" w:cs="Arial"/>
          <w:color w:val="000000" w:themeColor="text1"/>
        </w:rPr>
        <w:t xml:space="preserve"> flexible working opportunities, effective role design, peer support and </w:t>
      </w:r>
      <w:r w:rsidR="002C0814">
        <w:rPr>
          <w:rFonts w:ascii="Arial" w:eastAsia="Arial" w:hAnsi="Arial" w:cs="Arial"/>
          <w:color w:val="000000" w:themeColor="text1"/>
        </w:rPr>
        <w:t>a programme of re-induction support following extended parental leave;</w:t>
      </w:r>
    </w:p>
    <w:p w14:paraId="277FD774" w14:textId="6832E893" w:rsidR="00995240" w:rsidRPr="00D406D8" w:rsidRDefault="51E9A9B4" w:rsidP="005D1546">
      <w:pPr>
        <w:numPr>
          <w:ilvl w:val="0"/>
          <w:numId w:val="22"/>
        </w:numPr>
        <w:shd w:val="clear" w:color="auto" w:fill="FFFFFF" w:themeFill="background1"/>
        <w:spacing w:after="120" w:line="360" w:lineRule="auto"/>
        <w:rPr>
          <w:rFonts w:ascii="Arial" w:eastAsia="Arial" w:hAnsi="Arial" w:cs="Arial"/>
          <w:color w:val="000000" w:themeColor="text1"/>
        </w:rPr>
      </w:pPr>
      <w:r w:rsidRPr="00D406D8">
        <w:rPr>
          <w:rFonts w:ascii="Arial" w:eastAsia="Arial" w:hAnsi="Arial" w:cs="Arial"/>
          <w:color w:val="000000" w:themeColor="text1"/>
        </w:rPr>
        <w:t>Ensure that equal pay is central to our commitment to fair organisational change, and that the outcomes for staff in relation to equal pay and occupational segregation are monitored;</w:t>
      </w:r>
    </w:p>
    <w:p w14:paraId="04114CC3" w14:textId="53EE51B6" w:rsidR="00EA2BE3" w:rsidRDefault="003D11B4" w:rsidP="005D1546">
      <w:pPr>
        <w:numPr>
          <w:ilvl w:val="0"/>
          <w:numId w:val="22"/>
        </w:numPr>
        <w:shd w:val="clear" w:color="auto" w:fill="FFFFFF" w:themeFill="background1"/>
        <w:spacing w:after="120" w:line="360" w:lineRule="auto"/>
        <w:rPr>
          <w:rFonts w:ascii="Arial" w:eastAsia="Arial" w:hAnsi="Arial" w:cs="Arial"/>
          <w:color w:val="000000" w:themeColor="text1"/>
        </w:rPr>
      </w:pPr>
      <w:r>
        <w:rPr>
          <w:rFonts w:ascii="Arial" w:eastAsia="Arial" w:hAnsi="Arial" w:cs="Arial"/>
          <w:color w:val="000000" w:themeColor="text1"/>
        </w:rPr>
        <w:t>Continue to</w:t>
      </w:r>
      <w:r w:rsidR="002C0170">
        <w:rPr>
          <w:rFonts w:ascii="Arial" w:eastAsia="Arial" w:hAnsi="Arial" w:cs="Arial"/>
          <w:color w:val="000000" w:themeColor="text1"/>
        </w:rPr>
        <w:t xml:space="preserve"> promote fair work practices and</w:t>
      </w:r>
      <w:r>
        <w:rPr>
          <w:rFonts w:ascii="Arial" w:eastAsia="Arial" w:hAnsi="Arial" w:cs="Arial"/>
          <w:color w:val="000000" w:themeColor="text1"/>
        </w:rPr>
        <w:t xml:space="preserve"> assess performance against the principles </w:t>
      </w:r>
      <w:r w:rsidR="004F7DC6">
        <w:rPr>
          <w:rFonts w:ascii="Arial" w:eastAsia="Arial" w:hAnsi="Arial" w:cs="Arial"/>
          <w:color w:val="000000" w:themeColor="text1"/>
        </w:rPr>
        <w:t>set out in the</w:t>
      </w:r>
      <w:r>
        <w:rPr>
          <w:rFonts w:ascii="Arial" w:eastAsia="Arial" w:hAnsi="Arial" w:cs="Arial"/>
          <w:color w:val="000000" w:themeColor="text1"/>
        </w:rPr>
        <w:t xml:space="preserve"> Fair Work framework</w:t>
      </w:r>
      <w:r w:rsidR="004F7DC6">
        <w:rPr>
          <w:rFonts w:ascii="Arial" w:eastAsia="Arial" w:hAnsi="Arial" w:cs="Arial"/>
          <w:color w:val="000000" w:themeColor="text1"/>
        </w:rPr>
        <w:t>;</w:t>
      </w:r>
    </w:p>
    <w:p w14:paraId="78C18B3B" w14:textId="69EFBD4F" w:rsidR="002C0170" w:rsidRDefault="009A544B" w:rsidP="005D1546">
      <w:pPr>
        <w:numPr>
          <w:ilvl w:val="0"/>
          <w:numId w:val="22"/>
        </w:numPr>
        <w:shd w:val="clear" w:color="auto" w:fill="FFFFFF" w:themeFill="background1"/>
        <w:spacing w:after="120" w:line="360" w:lineRule="auto"/>
        <w:rPr>
          <w:rFonts w:ascii="Arial" w:eastAsia="Arial" w:hAnsi="Arial" w:cs="Arial"/>
          <w:color w:val="000000" w:themeColor="text1"/>
        </w:rPr>
      </w:pPr>
      <w:r>
        <w:rPr>
          <w:rFonts w:ascii="Arial" w:eastAsia="Arial" w:hAnsi="Arial" w:cs="Arial"/>
          <w:color w:val="000000" w:themeColor="text1"/>
        </w:rPr>
        <w:t xml:space="preserve">Regular review </w:t>
      </w:r>
      <w:r w:rsidR="009A11B4">
        <w:rPr>
          <w:rFonts w:ascii="Arial" w:eastAsia="Arial" w:hAnsi="Arial" w:cs="Arial"/>
          <w:color w:val="000000" w:themeColor="text1"/>
        </w:rPr>
        <w:t xml:space="preserve">of data to </w:t>
      </w:r>
      <w:r w:rsidR="005A28EA">
        <w:rPr>
          <w:rFonts w:ascii="Arial" w:eastAsia="Arial" w:hAnsi="Arial" w:cs="Arial"/>
          <w:color w:val="000000" w:themeColor="text1"/>
        </w:rPr>
        <w:t>scrutinise performance and drive improvement across recruitment practices, career progression and retention</w:t>
      </w:r>
      <w:r w:rsidR="006C02DE">
        <w:rPr>
          <w:rFonts w:ascii="Arial" w:eastAsia="Arial" w:hAnsi="Arial" w:cs="Arial"/>
          <w:color w:val="000000" w:themeColor="text1"/>
        </w:rPr>
        <w:t>;</w:t>
      </w:r>
    </w:p>
    <w:p w14:paraId="2D3E751D" w14:textId="6FC4FD97" w:rsidR="00341928" w:rsidRDefault="00A25361" w:rsidP="005D1546">
      <w:pPr>
        <w:numPr>
          <w:ilvl w:val="0"/>
          <w:numId w:val="22"/>
        </w:numPr>
        <w:shd w:val="clear" w:color="auto" w:fill="FFFFFF" w:themeFill="background1"/>
        <w:spacing w:after="120" w:line="360" w:lineRule="auto"/>
        <w:rPr>
          <w:rFonts w:ascii="Arial" w:eastAsia="Arial" w:hAnsi="Arial" w:cs="Arial"/>
          <w:color w:val="000000" w:themeColor="text1"/>
        </w:rPr>
      </w:pPr>
      <w:r>
        <w:rPr>
          <w:rFonts w:ascii="Arial" w:eastAsia="Arial" w:hAnsi="Arial" w:cs="Arial"/>
          <w:color w:val="000000" w:themeColor="text1"/>
        </w:rPr>
        <w:t xml:space="preserve">Our ways of working will include visible </w:t>
      </w:r>
      <w:r w:rsidR="00401ED5">
        <w:rPr>
          <w:rFonts w:ascii="Arial" w:eastAsia="Arial" w:hAnsi="Arial" w:cs="Arial"/>
          <w:color w:val="000000" w:themeColor="text1"/>
        </w:rPr>
        <w:t>leadership</w:t>
      </w:r>
      <w:r>
        <w:rPr>
          <w:rFonts w:ascii="Arial" w:eastAsia="Arial" w:hAnsi="Arial" w:cs="Arial"/>
          <w:color w:val="000000" w:themeColor="text1"/>
        </w:rPr>
        <w:t xml:space="preserve"> that prioritises diversity and inclusion</w:t>
      </w:r>
      <w:r w:rsidR="00401ED5">
        <w:rPr>
          <w:rFonts w:ascii="Arial" w:eastAsia="Arial" w:hAnsi="Arial" w:cs="Arial"/>
          <w:color w:val="000000" w:themeColor="text1"/>
        </w:rPr>
        <w:t>;</w:t>
      </w:r>
    </w:p>
    <w:p w14:paraId="73417B25" w14:textId="6A2D70A8" w:rsidR="00401ED5" w:rsidRDefault="004845CF" w:rsidP="005D1546">
      <w:pPr>
        <w:numPr>
          <w:ilvl w:val="0"/>
          <w:numId w:val="22"/>
        </w:numPr>
        <w:shd w:val="clear" w:color="auto" w:fill="FFFFFF" w:themeFill="background1"/>
        <w:spacing w:after="120" w:line="360" w:lineRule="auto"/>
        <w:rPr>
          <w:rFonts w:ascii="Arial" w:eastAsia="Arial" w:hAnsi="Arial" w:cs="Arial"/>
          <w:color w:val="000000" w:themeColor="text1"/>
        </w:rPr>
      </w:pPr>
      <w:r>
        <w:rPr>
          <w:rFonts w:ascii="Arial" w:eastAsia="Arial" w:hAnsi="Arial" w:cs="Arial"/>
          <w:color w:val="000000" w:themeColor="text1"/>
        </w:rPr>
        <w:t xml:space="preserve">Develop workforce planning across the organisation to </w:t>
      </w:r>
      <w:r w:rsidR="00FB47F6">
        <w:rPr>
          <w:rFonts w:ascii="Arial" w:eastAsia="Arial" w:hAnsi="Arial" w:cs="Arial"/>
          <w:color w:val="000000" w:themeColor="text1"/>
        </w:rPr>
        <w:t>enhance career development succession planning and talent management</w:t>
      </w:r>
      <w:r w:rsidR="00337395">
        <w:rPr>
          <w:rFonts w:ascii="Arial" w:eastAsia="Arial" w:hAnsi="Arial" w:cs="Arial"/>
          <w:color w:val="000000" w:themeColor="text1"/>
        </w:rPr>
        <w:t>;</w:t>
      </w:r>
    </w:p>
    <w:p w14:paraId="46212969" w14:textId="3A202582" w:rsidR="00A42986" w:rsidRDefault="00CA3AFF" w:rsidP="005D1546">
      <w:pPr>
        <w:numPr>
          <w:ilvl w:val="0"/>
          <w:numId w:val="22"/>
        </w:numPr>
        <w:shd w:val="clear" w:color="auto" w:fill="FFFFFF" w:themeFill="background1"/>
        <w:spacing w:after="120" w:line="360" w:lineRule="auto"/>
        <w:rPr>
          <w:rFonts w:ascii="Arial" w:eastAsia="Arial" w:hAnsi="Arial" w:cs="Arial"/>
          <w:color w:val="000000" w:themeColor="text1"/>
        </w:rPr>
      </w:pPr>
      <w:r>
        <w:rPr>
          <w:rFonts w:ascii="Arial" w:eastAsia="Arial" w:hAnsi="Arial" w:cs="Arial"/>
          <w:color w:val="000000" w:themeColor="text1"/>
        </w:rPr>
        <w:t xml:space="preserve">Following implementation of values based recruitment for all NES vacancies, with an increased focus on values and ways of working, we will continue to analyse recruitment outcomes and seek feedback from our applicant pool to help identify </w:t>
      </w:r>
      <w:r>
        <w:rPr>
          <w:rFonts w:ascii="Arial" w:eastAsia="Arial" w:hAnsi="Arial" w:cs="Arial"/>
          <w:color w:val="000000" w:themeColor="text1"/>
        </w:rPr>
        <w:lastRenderedPageBreak/>
        <w:t xml:space="preserve">ways in which we can be more effective at reaching a diverse applicant pool </w:t>
      </w:r>
      <w:r w:rsidR="00A42986">
        <w:rPr>
          <w:rFonts w:ascii="Arial" w:eastAsia="Arial" w:hAnsi="Arial" w:cs="Arial"/>
          <w:color w:val="000000" w:themeColor="text1"/>
        </w:rPr>
        <w:t>and</w:t>
      </w:r>
      <w:r>
        <w:rPr>
          <w:rFonts w:ascii="Arial" w:eastAsia="Arial" w:hAnsi="Arial" w:cs="Arial"/>
          <w:color w:val="000000" w:themeColor="text1"/>
        </w:rPr>
        <w:t xml:space="preserve"> securing the best talent</w:t>
      </w:r>
      <w:r w:rsidR="00337395">
        <w:rPr>
          <w:rFonts w:ascii="Arial" w:eastAsia="Arial" w:hAnsi="Arial" w:cs="Arial"/>
          <w:color w:val="000000" w:themeColor="text1"/>
        </w:rPr>
        <w:t>;</w:t>
      </w:r>
    </w:p>
    <w:p w14:paraId="689C000D" w14:textId="50DEBA59" w:rsidR="00CA3AFF" w:rsidRDefault="00A42986" w:rsidP="005D1546">
      <w:pPr>
        <w:numPr>
          <w:ilvl w:val="0"/>
          <w:numId w:val="22"/>
        </w:numPr>
        <w:shd w:val="clear" w:color="auto" w:fill="FFFFFF" w:themeFill="background1"/>
        <w:spacing w:after="120" w:line="360" w:lineRule="auto"/>
        <w:rPr>
          <w:rFonts w:ascii="Arial" w:eastAsia="Arial" w:hAnsi="Arial" w:cs="Arial"/>
          <w:color w:val="000000" w:themeColor="text1"/>
        </w:rPr>
      </w:pPr>
      <w:r>
        <w:rPr>
          <w:rFonts w:ascii="Arial" w:eastAsia="Arial" w:hAnsi="Arial" w:cs="Arial"/>
          <w:color w:val="000000" w:themeColor="text1"/>
        </w:rPr>
        <w:t>C</w:t>
      </w:r>
      <w:r w:rsidR="00CA3AFF">
        <w:rPr>
          <w:rFonts w:ascii="Arial" w:eastAsia="Arial" w:hAnsi="Arial" w:cs="Arial"/>
          <w:color w:val="000000" w:themeColor="text1"/>
        </w:rPr>
        <w:t>ontinue to monitor the impact of Jobtrain, the portal for NHS Scotland recruitment, along with the NHS Scotland Careers website on our applicant reach and recruitment activity</w:t>
      </w:r>
      <w:r w:rsidR="00337395">
        <w:rPr>
          <w:rFonts w:ascii="Arial" w:eastAsia="Arial" w:hAnsi="Arial" w:cs="Arial"/>
          <w:color w:val="000000" w:themeColor="text1"/>
        </w:rPr>
        <w:t>;</w:t>
      </w:r>
    </w:p>
    <w:p w14:paraId="0B9FD13C" w14:textId="4D67C3D8" w:rsidR="00337395" w:rsidRPr="00D406D8" w:rsidRDefault="00701A2B" w:rsidP="005D1546">
      <w:pPr>
        <w:numPr>
          <w:ilvl w:val="0"/>
          <w:numId w:val="22"/>
        </w:numPr>
        <w:shd w:val="clear" w:color="auto" w:fill="FFFFFF" w:themeFill="background1"/>
        <w:spacing w:after="120" w:line="360" w:lineRule="auto"/>
        <w:rPr>
          <w:rFonts w:ascii="Arial" w:eastAsia="Arial" w:hAnsi="Arial" w:cs="Arial"/>
          <w:color w:val="000000" w:themeColor="text1"/>
        </w:rPr>
      </w:pPr>
      <w:r>
        <w:rPr>
          <w:rFonts w:ascii="Arial" w:eastAsia="Arial" w:hAnsi="Arial" w:cs="Arial"/>
          <w:color w:val="000000" w:themeColor="text1"/>
        </w:rPr>
        <w:t xml:space="preserve">Recovery and renewal following the global </w:t>
      </w:r>
      <w:r w:rsidR="005E014F">
        <w:rPr>
          <w:rFonts w:ascii="Arial" w:eastAsia="Arial" w:hAnsi="Arial" w:cs="Arial"/>
          <w:color w:val="000000" w:themeColor="text1"/>
        </w:rPr>
        <w:t>pandemic</w:t>
      </w:r>
      <w:r>
        <w:rPr>
          <w:rFonts w:ascii="Arial" w:eastAsia="Arial" w:hAnsi="Arial" w:cs="Arial"/>
          <w:color w:val="000000" w:themeColor="text1"/>
        </w:rPr>
        <w:t xml:space="preserve"> will cont</w:t>
      </w:r>
      <w:r w:rsidR="005E014F">
        <w:rPr>
          <w:rFonts w:ascii="Arial" w:eastAsia="Arial" w:hAnsi="Arial" w:cs="Arial"/>
          <w:color w:val="000000" w:themeColor="text1"/>
        </w:rPr>
        <w:t>in</w:t>
      </w:r>
      <w:r>
        <w:rPr>
          <w:rFonts w:ascii="Arial" w:eastAsia="Arial" w:hAnsi="Arial" w:cs="Arial"/>
          <w:color w:val="000000" w:themeColor="text1"/>
        </w:rPr>
        <w:t xml:space="preserve">ue to effect change across systems and the labour market, </w:t>
      </w:r>
      <w:r w:rsidR="005E014F">
        <w:rPr>
          <w:rFonts w:ascii="Arial" w:eastAsia="Arial" w:hAnsi="Arial" w:cs="Arial"/>
          <w:color w:val="000000" w:themeColor="text1"/>
        </w:rPr>
        <w:t xml:space="preserve">we will continue to use our data to inform decision making throughout this period and </w:t>
      </w:r>
      <w:r w:rsidR="005612D9">
        <w:rPr>
          <w:rFonts w:ascii="Arial" w:eastAsia="Arial" w:hAnsi="Arial" w:cs="Arial"/>
          <w:color w:val="000000" w:themeColor="text1"/>
        </w:rPr>
        <w:t>seek new ways of working</w:t>
      </w:r>
      <w:r w:rsidR="00AB6C77">
        <w:rPr>
          <w:rFonts w:ascii="Arial" w:eastAsia="Arial" w:hAnsi="Arial" w:cs="Arial"/>
          <w:color w:val="000000" w:themeColor="text1"/>
        </w:rPr>
        <w:t>, underpinned by equality and</w:t>
      </w:r>
      <w:r w:rsidR="00181E35">
        <w:rPr>
          <w:rFonts w:ascii="Arial" w:eastAsia="Arial" w:hAnsi="Arial" w:cs="Arial"/>
          <w:color w:val="000000" w:themeColor="text1"/>
        </w:rPr>
        <w:t xml:space="preserve"> fair work principles;</w:t>
      </w:r>
    </w:p>
    <w:p w14:paraId="277FD775" w14:textId="02495CE2" w:rsidR="00995240" w:rsidRPr="008C48EC" w:rsidRDefault="51E9A9B4" w:rsidP="005D1546">
      <w:pPr>
        <w:numPr>
          <w:ilvl w:val="0"/>
          <w:numId w:val="22"/>
        </w:numPr>
        <w:shd w:val="clear" w:color="auto" w:fill="FFFFFF" w:themeFill="background1"/>
        <w:spacing w:after="120" w:line="360" w:lineRule="auto"/>
        <w:rPr>
          <w:rFonts w:ascii="Arial" w:eastAsia="Arial" w:hAnsi="Arial" w:cs="Arial"/>
          <w:color w:val="000000" w:themeColor="text1"/>
        </w:rPr>
      </w:pPr>
      <w:r w:rsidRPr="00D406D8">
        <w:rPr>
          <w:rFonts w:ascii="Arial" w:eastAsia="Arial" w:hAnsi="Arial" w:cs="Arial"/>
          <w:color w:val="000000" w:themeColor="text1"/>
        </w:rPr>
        <w:t xml:space="preserve">Continue to monitor staff development, </w:t>
      </w:r>
      <w:proofErr w:type="gramStart"/>
      <w:r w:rsidRPr="00D406D8">
        <w:rPr>
          <w:rFonts w:ascii="Arial" w:eastAsia="Arial" w:hAnsi="Arial" w:cs="Arial"/>
          <w:color w:val="000000" w:themeColor="text1"/>
        </w:rPr>
        <w:t>taking action</w:t>
      </w:r>
      <w:proofErr w:type="gramEnd"/>
      <w:r w:rsidRPr="00D406D8">
        <w:rPr>
          <w:rFonts w:ascii="Arial" w:eastAsia="Arial" w:hAnsi="Arial" w:cs="Arial"/>
          <w:color w:val="000000" w:themeColor="text1"/>
        </w:rPr>
        <w:t xml:space="preserve"> as appropriate to ensure that all staff are appropriately trained and developed</w:t>
      </w:r>
      <w:r w:rsidR="00BB7719">
        <w:rPr>
          <w:rFonts w:ascii="Arial" w:eastAsia="Arial" w:hAnsi="Arial" w:cs="Arial"/>
          <w:color w:val="000000" w:themeColor="text1"/>
        </w:rPr>
        <w:t>, with access to the knowledge, tools and support they require,</w:t>
      </w:r>
      <w:r w:rsidR="00D406D8">
        <w:rPr>
          <w:rFonts w:ascii="Arial" w:eastAsia="Arial" w:hAnsi="Arial" w:cs="Arial"/>
          <w:color w:val="000000" w:themeColor="text1"/>
        </w:rPr>
        <w:t xml:space="preserve"> and experience equality of opportunity in the workplace</w:t>
      </w:r>
      <w:r w:rsidRPr="51E9A9B4">
        <w:rPr>
          <w:rFonts w:ascii="Arial" w:eastAsia="Arial" w:hAnsi="Arial" w:cs="Arial"/>
          <w:color w:val="000000" w:themeColor="text1"/>
        </w:rPr>
        <w:t>.</w:t>
      </w:r>
    </w:p>
    <w:p w14:paraId="277FD776" w14:textId="77777777" w:rsidR="00FC5B87" w:rsidRPr="008C48EC" w:rsidRDefault="51E9A9B4" w:rsidP="00AF0A00">
      <w:pPr>
        <w:shd w:val="clear" w:color="auto" w:fill="FFFFFF" w:themeFill="background1"/>
        <w:spacing w:after="120" w:line="360" w:lineRule="auto"/>
        <w:rPr>
          <w:rFonts w:ascii="Arial" w:eastAsia="Arial" w:hAnsi="Arial" w:cs="Arial"/>
          <w:color w:val="000000" w:themeColor="text1"/>
        </w:rPr>
      </w:pPr>
      <w:r w:rsidRPr="51E9A9B4">
        <w:rPr>
          <w:rFonts w:ascii="Arial" w:eastAsia="Arial" w:hAnsi="Arial" w:cs="Arial"/>
          <w:color w:val="000000" w:themeColor="text1"/>
        </w:rPr>
        <w:t>Responsibility for implementing this policy is held by the NES Chief Executive.</w:t>
      </w:r>
    </w:p>
    <w:p w14:paraId="277FD778" w14:textId="67A4EFD2" w:rsidR="00FC5B87" w:rsidRPr="005D1546" w:rsidRDefault="51E9A9B4" w:rsidP="005D1546">
      <w:pPr>
        <w:shd w:val="clear" w:color="auto" w:fill="FFFFFF" w:themeFill="background1"/>
        <w:spacing w:after="120" w:line="360" w:lineRule="auto"/>
        <w:rPr>
          <w:rFonts w:ascii="Arial" w:eastAsia="Arial" w:hAnsi="Arial" w:cs="Arial"/>
          <w:color w:val="000000" w:themeColor="text1"/>
        </w:rPr>
      </w:pPr>
      <w:r w:rsidRPr="51E9A9B4">
        <w:rPr>
          <w:rFonts w:ascii="Arial" w:eastAsia="Arial" w:hAnsi="Arial" w:cs="Arial"/>
          <w:color w:val="000000" w:themeColor="text1"/>
        </w:rPr>
        <w:t>Any member of staff who wishes to raise a concern should in the first instance do this informally with their Line Manager or Human Resources. Should the issue remain unresolved staff can use the NES Grievance Procedure to formally raise their concerns.</w:t>
      </w:r>
    </w:p>
    <w:p w14:paraId="277FD779" w14:textId="77777777" w:rsidR="00FC5B87" w:rsidRPr="008C48EC" w:rsidRDefault="00FC5B87" w:rsidP="00AF0A00">
      <w:pPr>
        <w:spacing w:line="360" w:lineRule="auto"/>
        <w:rPr>
          <w:color w:val="000000"/>
          <w:lang w:val="en-US"/>
        </w:rPr>
      </w:pPr>
    </w:p>
    <w:p w14:paraId="277FD77C" w14:textId="77777777" w:rsidR="00FC5B87" w:rsidRPr="008C48EC" w:rsidRDefault="00FC5B87" w:rsidP="00AF0A00">
      <w:pPr>
        <w:spacing w:line="360" w:lineRule="auto"/>
        <w:rPr>
          <w:color w:val="000000"/>
          <w:lang w:val="en-US"/>
        </w:rPr>
      </w:pPr>
    </w:p>
    <w:p w14:paraId="277FD77D" w14:textId="559E0D82" w:rsidR="00FC5B87" w:rsidRPr="00FC0482" w:rsidRDefault="00FC0482" w:rsidP="00AF0A00">
      <w:pPr>
        <w:autoSpaceDE w:val="0"/>
        <w:autoSpaceDN w:val="0"/>
        <w:adjustRightInd w:val="0"/>
        <w:spacing w:line="360" w:lineRule="auto"/>
        <w:rPr>
          <w:rFonts w:ascii="Arial" w:eastAsia="Arial" w:hAnsi="Arial" w:cs="Arial"/>
          <w:color w:val="000000" w:themeColor="text1"/>
          <w:sz w:val="23"/>
          <w:szCs w:val="23"/>
        </w:rPr>
      </w:pPr>
      <w:r w:rsidRPr="00FC0482">
        <w:rPr>
          <w:rFonts w:ascii="Arial" w:eastAsia="Arial" w:hAnsi="Arial" w:cs="Arial"/>
          <w:color w:val="000000" w:themeColor="text1"/>
          <w:sz w:val="23"/>
          <w:szCs w:val="23"/>
        </w:rPr>
        <w:t>Karen Reid</w:t>
      </w:r>
    </w:p>
    <w:p w14:paraId="277FD77E" w14:textId="77777777" w:rsidR="00FC5B87" w:rsidRPr="00FC0482" w:rsidRDefault="51E9A9B4" w:rsidP="00AF0A00">
      <w:pPr>
        <w:autoSpaceDE w:val="0"/>
        <w:autoSpaceDN w:val="0"/>
        <w:adjustRightInd w:val="0"/>
        <w:spacing w:line="360" w:lineRule="auto"/>
        <w:rPr>
          <w:rFonts w:ascii="Arial" w:eastAsia="Arial" w:hAnsi="Arial" w:cs="Arial"/>
          <w:color w:val="000000" w:themeColor="text1"/>
          <w:sz w:val="23"/>
          <w:szCs w:val="23"/>
        </w:rPr>
      </w:pPr>
      <w:r w:rsidRPr="00FC0482">
        <w:rPr>
          <w:rFonts w:ascii="Arial" w:eastAsia="Arial" w:hAnsi="Arial" w:cs="Arial"/>
          <w:color w:val="000000" w:themeColor="text1"/>
          <w:sz w:val="23"/>
          <w:szCs w:val="23"/>
        </w:rPr>
        <w:t>Chief Executive</w:t>
      </w:r>
    </w:p>
    <w:p w14:paraId="277FD77F" w14:textId="77777777" w:rsidR="00FC5B87" w:rsidRPr="00FC0482" w:rsidRDefault="51E9A9B4" w:rsidP="00AF0A00">
      <w:pPr>
        <w:autoSpaceDE w:val="0"/>
        <w:autoSpaceDN w:val="0"/>
        <w:adjustRightInd w:val="0"/>
        <w:spacing w:line="360" w:lineRule="auto"/>
        <w:rPr>
          <w:rFonts w:ascii="Arial" w:eastAsia="Arial" w:hAnsi="Arial" w:cs="Arial"/>
          <w:color w:val="000000" w:themeColor="text1"/>
          <w:sz w:val="23"/>
          <w:szCs w:val="23"/>
        </w:rPr>
      </w:pPr>
      <w:r w:rsidRPr="00FC0482">
        <w:rPr>
          <w:rFonts w:ascii="Arial" w:eastAsia="Arial" w:hAnsi="Arial" w:cs="Arial"/>
          <w:color w:val="000000" w:themeColor="text1"/>
          <w:sz w:val="23"/>
          <w:szCs w:val="23"/>
        </w:rPr>
        <w:t>NHS Education for Scotland</w:t>
      </w:r>
      <w:smartTag w:uri="urn:schemas-microsoft-com:office:smarttags" w:element="place"/>
      <w:smartTag w:uri="urn:schemas-microsoft-com:office:smarttags" w:element="country-region"/>
    </w:p>
    <w:p w14:paraId="277FD780" w14:textId="118FB729" w:rsidR="000771E2" w:rsidRPr="008C48EC" w:rsidRDefault="51E9A9B4" w:rsidP="00AF0A00">
      <w:pPr>
        <w:autoSpaceDE w:val="0"/>
        <w:autoSpaceDN w:val="0"/>
        <w:adjustRightInd w:val="0"/>
        <w:spacing w:line="360" w:lineRule="auto"/>
        <w:rPr>
          <w:rFonts w:ascii="Arial" w:eastAsia="Arial" w:hAnsi="Arial" w:cs="Arial"/>
          <w:color w:val="000000" w:themeColor="text1"/>
          <w:sz w:val="23"/>
          <w:szCs w:val="23"/>
        </w:rPr>
      </w:pPr>
      <w:r w:rsidRPr="00FC0482">
        <w:rPr>
          <w:rFonts w:ascii="Arial" w:eastAsia="Arial" w:hAnsi="Arial" w:cs="Arial"/>
          <w:color w:val="000000" w:themeColor="text1"/>
          <w:sz w:val="23"/>
          <w:szCs w:val="23"/>
        </w:rPr>
        <w:t xml:space="preserve">April </w:t>
      </w:r>
      <w:r w:rsidR="00C97DF1" w:rsidRPr="00FC0482">
        <w:rPr>
          <w:rFonts w:ascii="Arial" w:eastAsia="Arial" w:hAnsi="Arial" w:cs="Arial"/>
          <w:color w:val="000000" w:themeColor="text1"/>
          <w:sz w:val="23"/>
          <w:szCs w:val="23"/>
        </w:rPr>
        <w:t>2021</w:t>
      </w:r>
    </w:p>
    <w:p w14:paraId="277FD781" w14:textId="77777777" w:rsidR="00FC5B87" w:rsidRPr="008C48EC" w:rsidRDefault="00FC5B87" w:rsidP="00AF0A00">
      <w:pPr>
        <w:spacing w:line="360" w:lineRule="auto"/>
        <w:rPr>
          <w:color w:val="000000"/>
          <w:lang w:val="en-US"/>
        </w:rPr>
      </w:pPr>
    </w:p>
    <w:p w14:paraId="277FD782" w14:textId="77777777" w:rsidR="00FC5B87" w:rsidRPr="008C48EC" w:rsidRDefault="00FC5B87" w:rsidP="00AF0A00">
      <w:pPr>
        <w:spacing w:line="360" w:lineRule="auto"/>
        <w:rPr>
          <w:color w:val="000000"/>
        </w:rPr>
      </w:pPr>
    </w:p>
    <w:p w14:paraId="277FD783" w14:textId="77777777" w:rsidR="00FC5B87" w:rsidRPr="008C48EC" w:rsidRDefault="00FC5B87" w:rsidP="00AF0A00">
      <w:pPr>
        <w:spacing w:line="360" w:lineRule="auto"/>
        <w:rPr>
          <w:color w:val="000000"/>
        </w:rPr>
      </w:pPr>
    </w:p>
    <w:p w14:paraId="277FD784" w14:textId="77777777" w:rsidR="00FC5B87" w:rsidRPr="008C48EC" w:rsidRDefault="00FC5B87" w:rsidP="00AF0A00">
      <w:pPr>
        <w:spacing w:line="360" w:lineRule="auto"/>
        <w:rPr>
          <w:color w:val="000000"/>
        </w:rPr>
      </w:pPr>
    </w:p>
    <w:p w14:paraId="277FD785" w14:textId="77777777" w:rsidR="00FC5B87" w:rsidRPr="008C48EC" w:rsidRDefault="00FC5B87" w:rsidP="00AF0A00">
      <w:pPr>
        <w:spacing w:line="360" w:lineRule="auto"/>
        <w:rPr>
          <w:color w:val="000000"/>
        </w:rPr>
      </w:pPr>
    </w:p>
    <w:p w14:paraId="277FD786" w14:textId="77777777" w:rsidR="00FC5B87" w:rsidRPr="008C48EC" w:rsidRDefault="00FC5B87" w:rsidP="00AF0A00">
      <w:pPr>
        <w:spacing w:line="360" w:lineRule="auto"/>
        <w:rPr>
          <w:color w:val="000000"/>
        </w:rPr>
      </w:pPr>
    </w:p>
    <w:p w14:paraId="277FD787" w14:textId="77777777" w:rsidR="00FC5B87" w:rsidRPr="008C48EC" w:rsidRDefault="00FC5B87" w:rsidP="00AF0A00">
      <w:pPr>
        <w:spacing w:line="360" w:lineRule="auto"/>
        <w:rPr>
          <w:color w:val="000000"/>
        </w:rPr>
      </w:pPr>
    </w:p>
    <w:p w14:paraId="277FD789" w14:textId="77777777" w:rsidR="00FC5B87" w:rsidRPr="008C48EC" w:rsidRDefault="00FC5B87" w:rsidP="00AF0A00">
      <w:pPr>
        <w:spacing w:line="360" w:lineRule="auto"/>
        <w:rPr>
          <w:color w:val="000000"/>
        </w:rPr>
      </w:pPr>
    </w:p>
    <w:p w14:paraId="277FD78A" w14:textId="77777777" w:rsidR="00FC5B87" w:rsidRPr="008C48EC" w:rsidRDefault="00FC5B87" w:rsidP="00AF0A00">
      <w:pPr>
        <w:spacing w:line="360" w:lineRule="auto"/>
        <w:rPr>
          <w:color w:val="000000"/>
        </w:rPr>
      </w:pPr>
    </w:p>
    <w:p w14:paraId="277FD78E" w14:textId="77777777" w:rsidR="00180A66" w:rsidRPr="00AF0A00" w:rsidRDefault="00995240" w:rsidP="00AF0A00">
      <w:pPr>
        <w:autoSpaceDE w:val="0"/>
        <w:autoSpaceDN w:val="0"/>
        <w:adjustRightInd w:val="0"/>
        <w:spacing w:line="360" w:lineRule="auto"/>
        <w:rPr>
          <w:rFonts w:ascii="Arial" w:eastAsia="Arial" w:hAnsi="Arial" w:cs="Arial"/>
          <w:b/>
          <w:bCs/>
          <w:i/>
          <w:iCs/>
          <w:color w:val="000000" w:themeColor="text1"/>
          <w:sz w:val="32"/>
          <w:szCs w:val="32"/>
        </w:rPr>
      </w:pPr>
      <w:r w:rsidRPr="51E9A9B4">
        <w:rPr>
          <w:rFonts w:ascii="Arial" w:eastAsia="Arial" w:hAnsi="Arial" w:cs="Arial"/>
          <w:b/>
          <w:bCs/>
          <w:i/>
          <w:iCs/>
          <w:color w:val="000000" w:themeColor="text1"/>
          <w:sz w:val="28"/>
          <w:szCs w:val="28"/>
        </w:rPr>
        <w:br w:type="page"/>
      </w:r>
      <w:r w:rsidR="51E9A9B4" w:rsidRPr="00AF0A00">
        <w:rPr>
          <w:rFonts w:ascii="Arial" w:eastAsia="Arial" w:hAnsi="Arial" w:cs="Arial"/>
          <w:b/>
          <w:bCs/>
          <w:i/>
          <w:iCs/>
          <w:color w:val="000000" w:themeColor="text1"/>
          <w:sz w:val="32"/>
          <w:szCs w:val="32"/>
        </w:rPr>
        <w:lastRenderedPageBreak/>
        <w:t>Equal Pay and Gender Occupational Segregation Analysis: Information on the staffing establishment within NHS Education for Scotland</w:t>
      </w:r>
    </w:p>
    <w:p w14:paraId="277FD78F" w14:textId="78DE96E4" w:rsidR="00180A66" w:rsidRPr="008C48EC" w:rsidRDefault="00EE3D28" w:rsidP="00AF0A00">
      <w:pPr>
        <w:autoSpaceDE w:val="0"/>
        <w:autoSpaceDN w:val="0"/>
        <w:adjustRightInd w:val="0"/>
        <w:spacing w:line="360" w:lineRule="auto"/>
        <w:rPr>
          <w:rFonts w:ascii="Arial" w:hAnsi="Arial" w:cs="Arial"/>
          <w:b/>
          <w:bCs/>
          <w:color w:val="000000"/>
          <w:sz w:val="32"/>
          <w:szCs w:val="32"/>
        </w:rPr>
      </w:pPr>
      <w:r>
        <w:rPr>
          <w:rFonts w:ascii="Arial" w:hAnsi="Arial" w:cs="Arial"/>
          <w:b/>
          <w:bCs/>
          <w:noProof/>
          <w:color w:val="000000"/>
          <w:sz w:val="28"/>
          <w:szCs w:val="28"/>
        </w:rPr>
        <mc:AlternateContent>
          <mc:Choice Requires="wps">
            <w:drawing>
              <wp:anchor distT="4294967293" distB="4294967293" distL="114300" distR="114300" simplePos="0" relativeHeight="251658240" behindDoc="0" locked="0" layoutInCell="1" allowOverlap="1" wp14:anchorId="277FD9B0" wp14:editId="0379F5FD">
                <wp:simplePos x="0" y="0"/>
                <wp:positionH relativeFrom="column">
                  <wp:posOffset>0</wp:posOffset>
                </wp:positionH>
                <wp:positionV relativeFrom="paragraph">
                  <wp:posOffset>152399</wp:posOffset>
                </wp:positionV>
                <wp:extent cx="54864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75B16" id="Line 3"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2pt" to="6in,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"/>
            </w:pict>
          </mc:Fallback>
        </mc:AlternateContent>
      </w:r>
    </w:p>
    <w:p w14:paraId="277FD791" w14:textId="1C3AD213" w:rsidR="00824D5E" w:rsidRPr="005D1546" w:rsidRDefault="005D1546" w:rsidP="005D1546">
      <w:pPr>
        <w:autoSpaceDE w:val="0"/>
        <w:autoSpaceDN w:val="0"/>
        <w:adjustRightInd w:val="0"/>
        <w:spacing w:after="60" w:line="360" w:lineRule="auto"/>
        <w:rPr>
          <w:rFonts w:ascii="Arial" w:eastAsia="Arial" w:hAnsi="Arial" w:cs="Arial"/>
          <w:b/>
          <w:bCs/>
          <w:color w:val="000000" w:themeColor="text1"/>
          <w:sz w:val="28"/>
          <w:szCs w:val="28"/>
        </w:rPr>
      </w:pPr>
      <w:r w:rsidRPr="005D1546">
        <w:rPr>
          <w:rFonts w:ascii="Arial" w:eastAsia="Arial" w:hAnsi="Arial" w:cs="Arial"/>
          <w:b/>
          <w:bCs/>
          <w:color w:val="000000" w:themeColor="text1"/>
          <w:sz w:val="28"/>
          <w:szCs w:val="28"/>
        </w:rPr>
        <w:t>1.</w:t>
      </w:r>
      <w:r>
        <w:rPr>
          <w:rFonts w:ascii="Arial" w:eastAsia="Arial" w:hAnsi="Arial" w:cs="Arial"/>
          <w:b/>
          <w:bCs/>
          <w:color w:val="000000" w:themeColor="text1"/>
          <w:sz w:val="28"/>
          <w:szCs w:val="28"/>
        </w:rPr>
        <w:t xml:space="preserve"> </w:t>
      </w:r>
      <w:r w:rsidR="51E9A9B4" w:rsidRPr="005D1546">
        <w:rPr>
          <w:rFonts w:ascii="Arial" w:eastAsia="Arial" w:hAnsi="Arial" w:cs="Arial"/>
          <w:b/>
          <w:bCs/>
          <w:color w:val="000000" w:themeColor="text1"/>
          <w:sz w:val="28"/>
          <w:szCs w:val="28"/>
        </w:rPr>
        <w:t>Introduction</w:t>
      </w:r>
    </w:p>
    <w:p w14:paraId="6199EEAA" w14:textId="340B98A1" w:rsidR="00772597" w:rsidRPr="00772597" w:rsidRDefault="00772597" w:rsidP="00072FED">
      <w:pPr>
        <w:pStyle w:val="Heading2"/>
        <w:rPr>
          <w:rFonts w:eastAsia="Arial"/>
        </w:rPr>
      </w:pPr>
      <w:r>
        <w:rPr>
          <w:rFonts w:eastAsia="Arial"/>
        </w:rPr>
        <w:t>Our Strategic Intent</w:t>
      </w:r>
    </w:p>
    <w:p w14:paraId="6965E4B8" w14:textId="77777777" w:rsidR="00772597" w:rsidRPr="00772597" w:rsidRDefault="00772597" w:rsidP="00772597">
      <w:pPr>
        <w:autoSpaceDE w:val="0"/>
        <w:autoSpaceDN w:val="0"/>
        <w:adjustRightInd w:val="0"/>
        <w:spacing w:line="360" w:lineRule="auto"/>
        <w:rPr>
          <w:rFonts w:ascii="Arial" w:eastAsia="Arial" w:hAnsi="Arial" w:cs="Arial"/>
          <w:color w:val="000000" w:themeColor="text1"/>
        </w:rPr>
      </w:pPr>
    </w:p>
    <w:p w14:paraId="05045571" w14:textId="77777777" w:rsidR="00772597" w:rsidRPr="00772597" w:rsidRDefault="00772597" w:rsidP="00772597">
      <w:pPr>
        <w:autoSpaceDE w:val="0"/>
        <w:autoSpaceDN w:val="0"/>
        <w:adjustRightInd w:val="0"/>
        <w:spacing w:line="360" w:lineRule="auto"/>
        <w:rPr>
          <w:rFonts w:ascii="Arial" w:eastAsia="Arial" w:hAnsi="Arial" w:cs="Arial"/>
          <w:color w:val="000000" w:themeColor="text1"/>
        </w:rPr>
      </w:pPr>
      <w:r w:rsidRPr="00772597">
        <w:rPr>
          <w:rFonts w:ascii="Arial" w:eastAsia="Arial" w:hAnsi="Arial" w:cs="Arial"/>
          <w:color w:val="000000" w:themeColor="text1"/>
        </w:rPr>
        <w:t xml:space="preserve">“Quality Education for a Healthier Scotland”  </w:t>
      </w:r>
    </w:p>
    <w:p w14:paraId="124E876D" w14:textId="77777777" w:rsidR="00772597" w:rsidRPr="00772597" w:rsidRDefault="00772597" w:rsidP="00772597">
      <w:pPr>
        <w:autoSpaceDE w:val="0"/>
        <w:autoSpaceDN w:val="0"/>
        <w:adjustRightInd w:val="0"/>
        <w:spacing w:line="360" w:lineRule="auto"/>
        <w:rPr>
          <w:rFonts w:ascii="Arial" w:eastAsia="Arial" w:hAnsi="Arial" w:cs="Arial"/>
          <w:color w:val="000000" w:themeColor="text1"/>
        </w:rPr>
      </w:pPr>
    </w:p>
    <w:p w14:paraId="69AE1CFD" w14:textId="77777777" w:rsidR="00772597" w:rsidRPr="00772597" w:rsidRDefault="00772597" w:rsidP="00772597">
      <w:pPr>
        <w:autoSpaceDE w:val="0"/>
        <w:autoSpaceDN w:val="0"/>
        <w:adjustRightInd w:val="0"/>
        <w:spacing w:line="360" w:lineRule="auto"/>
        <w:rPr>
          <w:rFonts w:ascii="Arial" w:eastAsia="Arial" w:hAnsi="Arial" w:cs="Arial"/>
          <w:color w:val="000000" w:themeColor="text1"/>
        </w:rPr>
      </w:pPr>
      <w:r w:rsidRPr="00772597">
        <w:rPr>
          <w:rFonts w:ascii="Arial" w:eastAsia="Arial" w:hAnsi="Arial" w:cs="Arial"/>
          <w:color w:val="000000" w:themeColor="text1"/>
        </w:rPr>
        <w:t xml:space="preserve">We are a national NHS Board, with a crucial role in the education, training and development of Scotland’s healthcare staff. At the undergraduate level, we play a key role in the performance management of nursing and midwifery programmes at all Scottish Universities. We support placements in clinical settings for trainee doctors, dentists, nurses, midwives and AHPs. We are responsible for recruiting key groups of staff to post-graduate training including doctors, dentists, pharmacists, clinical psychologists and healthcare scientists.  We manage the progression through structured training programmes of more than 6,500 trainees, who deliver services to patients and their families.  </w:t>
      </w:r>
    </w:p>
    <w:p w14:paraId="0A123F46" w14:textId="77777777" w:rsidR="00072FED" w:rsidRDefault="00072FED" w:rsidP="00772597">
      <w:pPr>
        <w:autoSpaceDE w:val="0"/>
        <w:autoSpaceDN w:val="0"/>
        <w:adjustRightInd w:val="0"/>
        <w:spacing w:line="360" w:lineRule="auto"/>
        <w:rPr>
          <w:rFonts w:ascii="Arial" w:eastAsia="Arial" w:hAnsi="Arial" w:cs="Arial"/>
          <w:color w:val="000000" w:themeColor="text1"/>
        </w:rPr>
      </w:pPr>
    </w:p>
    <w:p w14:paraId="29B87855" w14:textId="1799EA29" w:rsidR="00772597" w:rsidRPr="00772597" w:rsidRDefault="00772597" w:rsidP="00772597">
      <w:pPr>
        <w:autoSpaceDE w:val="0"/>
        <w:autoSpaceDN w:val="0"/>
        <w:adjustRightInd w:val="0"/>
        <w:spacing w:line="360" w:lineRule="auto"/>
        <w:rPr>
          <w:rFonts w:ascii="Arial" w:eastAsia="Arial" w:hAnsi="Arial" w:cs="Arial"/>
          <w:color w:val="000000" w:themeColor="text1"/>
        </w:rPr>
      </w:pPr>
      <w:r w:rsidRPr="00772597">
        <w:rPr>
          <w:rFonts w:ascii="Arial" w:eastAsia="Arial" w:hAnsi="Arial" w:cs="Arial"/>
          <w:color w:val="000000" w:themeColor="text1"/>
        </w:rPr>
        <w:t xml:space="preserve">We support continuous professional development and commission programmes and evidence-based educational resources and interventions in a range of formats. These resources support the workforce across both health and social care. They ensure that patients and their families get the best care possible from a well-trained and educated workforce. We have educational materials that are relevant to staff from every group within health, and to staff working across the wider social care sector. </w:t>
      </w:r>
    </w:p>
    <w:p w14:paraId="66E015AF" w14:textId="0BD9C2AA" w:rsidR="00772597" w:rsidRPr="00772597" w:rsidRDefault="00772597" w:rsidP="00072FED">
      <w:pPr>
        <w:pStyle w:val="Heading2"/>
        <w:rPr>
          <w:rFonts w:eastAsia="Arial"/>
        </w:rPr>
      </w:pPr>
      <w:r w:rsidRPr="00772597">
        <w:rPr>
          <w:rFonts w:eastAsia="Arial"/>
        </w:rPr>
        <w:t xml:space="preserve"> Why is this important?   </w:t>
      </w:r>
    </w:p>
    <w:p w14:paraId="3DACB96F" w14:textId="77777777" w:rsidR="00772597" w:rsidRPr="00772597" w:rsidRDefault="00772597" w:rsidP="00772597">
      <w:pPr>
        <w:autoSpaceDE w:val="0"/>
        <w:autoSpaceDN w:val="0"/>
        <w:adjustRightInd w:val="0"/>
        <w:spacing w:line="360" w:lineRule="auto"/>
        <w:rPr>
          <w:rFonts w:ascii="Arial" w:eastAsia="Arial" w:hAnsi="Arial" w:cs="Arial"/>
          <w:color w:val="000000" w:themeColor="text1"/>
        </w:rPr>
      </w:pPr>
    </w:p>
    <w:p w14:paraId="2652AF84" w14:textId="77777777" w:rsidR="00772597" w:rsidRPr="00772597" w:rsidRDefault="00772597" w:rsidP="00772597">
      <w:pPr>
        <w:autoSpaceDE w:val="0"/>
        <w:autoSpaceDN w:val="0"/>
        <w:adjustRightInd w:val="0"/>
        <w:spacing w:line="360" w:lineRule="auto"/>
        <w:rPr>
          <w:rFonts w:ascii="Arial" w:eastAsia="Arial" w:hAnsi="Arial" w:cs="Arial"/>
          <w:color w:val="000000" w:themeColor="text1"/>
        </w:rPr>
      </w:pPr>
      <w:r w:rsidRPr="00772597">
        <w:rPr>
          <w:rFonts w:ascii="Arial" w:eastAsia="Arial" w:hAnsi="Arial" w:cs="Arial"/>
          <w:color w:val="000000" w:themeColor="text1"/>
        </w:rPr>
        <w:t xml:space="preserve">The people who work in health and social care are its most important asset. Having the right numbers of trained staff, in the right place, at the right time is key to delivering better health and better care. At the same time, expectations are changing, as people </w:t>
      </w:r>
      <w:r w:rsidRPr="00772597">
        <w:rPr>
          <w:rFonts w:ascii="Arial" w:eastAsia="Arial" w:hAnsi="Arial" w:cs="Arial"/>
          <w:color w:val="000000" w:themeColor="text1"/>
        </w:rPr>
        <w:lastRenderedPageBreak/>
        <w:t xml:space="preserve">look for more control over their working lives, better career development and more flexible working. </w:t>
      </w:r>
    </w:p>
    <w:p w14:paraId="4D242CC6" w14:textId="77777777" w:rsidR="00772597" w:rsidRPr="00772597" w:rsidRDefault="00772597" w:rsidP="00772597">
      <w:pPr>
        <w:autoSpaceDE w:val="0"/>
        <w:autoSpaceDN w:val="0"/>
        <w:adjustRightInd w:val="0"/>
        <w:spacing w:line="360" w:lineRule="auto"/>
        <w:rPr>
          <w:rFonts w:ascii="Arial" w:eastAsia="Arial" w:hAnsi="Arial" w:cs="Arial"/>
          <w:color w:val="000000" w:themeColor="text1"/>
        </w:rPr>
      </w:pPr>
    </w:p>
    <w:p w14:paraId="478C5605" w14:textId="5C06EA25" w:rsidR="00772597" w:rsidRPr="00772597" w:rsidRDefault="00772597" w:rsidP="00072FED">
      <w:pPr>
        <w:autoSpaceDE w:val="0"/>
        <w:autoSpaceDN w:val="0"/>
        <w:adjustRightInd w:val="0"/>
        <w:spacing w:line="360" w:lineRule="auto"/>
        <w:rPr>
          <w:rFonts w:ascii="Arial" w:eastAsia="Arial" w:hAnsi="Arial" w:cs="Arial"/>
          <w:color w:val="000000" w:themeColor="text1"/>
        </w:rPr>
      </w:pPr>
      <w:r w:rsidRPr="00772597">
        <w:rPr>
          <w:rFonts w:ascii="Arial" w:eastAsia="Arial" w:hAnsi="Arial" w:cs="Arial"/>
          <w:color w:val="000000" w:themeColor="text1"/>
        </w:rPr>
        <w:t xml:space="preserve">Through our structured training programmes and our high-quality educational resources, we have a unique opportunity to engage with staff across all of health and social care. We know that there are challenges in both recruiting and retaining staff. That means more than ever, we need to be able to support people to have rewarding and fulfilling careers. We also support the workforce to gain the new skills and embrace the new ways of working that are needed, as more healthcare is delivered in the community rather than in hospital, and as healthcare technologies advance. </w:t>
      </w:r>
    </w:p>
    <w:p w14:paraId="65A47005" w14:textId="77777777" w:rsidR="00772597" w:rsidRPr="00772597" w:rsidRDefault="00772597" w:rsidP="00772597">
      <w:pPr>
        <w:autoSpaceDE w:val="0"/>
        <w:autoSpaceDN w:val="0"/>
        <w:adjustRightInd w:val="0"/>
        <w:spacing w:line="360" w:lineRule="auto"/>
        <w:rPr>
          <w:rFonts w:ascii="Arial" w:eastAsia="Arial" w:hAnsi="Arial" w:cs="Arial"/>
          <w:color w:val="000000" w:themeColor="text1"/>
        </w:rPr>
      </w:pPr>
    </w:p>
    <w:p w14:paraId="706A6EE4" w14:textId="77777777" w:rsidR="00772597" w:rsidRPr="00772597" w:rsidRDefault="00772597" w:rsidP="00072FED">
      <w:pPr>
        <w:pStyle w:val="Heading2"/>
        <w:rPr>
          <w:rFonts w:eastAsia="Arial"/>
        </w:rPr>
      </w:pPr>
      <w:r w:rsidRPr="00772597">
        <w:rPr>
          <w:rFonts w:eastAsia="Arial"/>
        </w:rPr>
        <w:t xml:space="preserve">How do we do this?  </w:t>
      </w:r>
    </w:p>
    <w:p w14:paraId="3E2D236E" w14:textId="77777777" w:rsidR="00772597" w:rsidRPr="00772597" w:rsidRDefault="00772597" w:rsidP="00772597">
      <w:pPr>
        <w:autoSpaceDE w:val="0"/>
        <w:autoSpaceDN w:val="0"/>
        <w:adjustRightInd w:val="0"/>
        <w:spacing w:line="360" w:lineRule="auto"/>
        <w:rPr>
          <w:rFonts w:ascii="Arial" w:eastAsia="Arial" w:hAnsi="Arial" w:cs="Arial"/>
          <w:color w:val="000000" w:themeColor="text1"/>
        </w:rPr>
      </w:pPr>
    </w:p>
    <w:p w14:paraId="64B4FD83" w14:textId="77777777" w:rsidR="00772597" w:rsidRPr="00772597" w:rsidRDefault="00772597" w:rsidP="00772597">
      <w:pPr>
        <w:autoSpaceDE w:val="0"/>
        <w:autoSpaceDN w:val="0"/>
        <w:adjustRightInd w:val="0"/>
        <w:spacing w:line="360" w:lineRule="auto"/>
        <w:rPr>
          <w:rFonts w:ascii="Arial" w:eastAsia="Arial" w:hAnsi="Arial" w:cs="Arial"/>
          <w:color w:val="000000" w:themeColor="text1"/>
        </w:rPr>
      </w:pPr>
      <w:r w:rsidRPr="00772597">
        <w:rPr>
          <w:rFonts w:ascii="Arial" w:eastAsia="Arial" w:hAnsi="Arial" w:cs="Arial"/>
          <w:color w:val="000000" w:themeColor="text1"/>
        </w:rPr>
        <w:t xml:space="preserve">We manage training programmes and provide educational resources to staff across Scotland. These clinicians, support workers, administrative staff, and many others are employed by NHS Boards, Local Authorities, voluntary organisations, the private sector and others. We work in partnership with Scottish Government, employers and many other organisations to try to ensure that staff experience a quality learning environment in their place of work, and to ensure seamless access to our resources. </w:t>
      </w:r>
    </w:p>
    <w:p w14:paraId="0E6E8088" w14:textId="77777777" w:rsidR="00772597" w:rsidRPr="00772597" w:rsidRDefault="00772597" w:rsidP="00772597">
      <w:pPr>
        <w:autoSpaceDE w:val="0"/>
        <w:autoSpaceDN w:val="0"/>
        <w:adjustRightInd w:val="0"/>
        <w:spacing w:line="360" w:lineRule="auto"/>
        <w:rPr>
          <w:rFonts w:ascii="Arial" w:eastAsia="Arial" w:hAnsi="Arial" w:cs="Arial"/>
          <w:color w:val="000000" w:themeColor="text1"/>
        </w:rPr>
      </w:pPr>
    </w:p>
    <w:p w14:paraId="203E9DCA" w14:textId="470A7C05" w:rsidR="00772597" w:rsidRPr="00772597" w:rsidRDefault="00772597" w:rsidP="00072FED">
      <w:pPr>
        <w:autoSpaceDE w:val="0"/>
        <w:autoSpaceDN w:val="0"/>
        <w:adjustRightInd w:val="0"/>
        <w:spacing w:line="360" w:lineRule="auto"/>
        <w:rPr>
          <w:rFonts w:ascii="Arial" w:eastAsia="Arial" w:hAnsi="Arial" w:cs="Arial"/>
          <w:color w:val="000000" w:themeColor="text1"/>
        </w:rPr>
      </w:pPr>
      <w:r w:rsidRPr="00772597">
        <w:rPr>
          <w:rFonts w:ascii="Arial" w:eastAsia="Arial" w:hAnsi="Arial" w:cs="Arial"/>
          <w:color w:val="000000" w:themeColor="text1"/>
        </w:rPr>
        <w:t xml:space="preserve"> We provide facilities and equipment for training, and many people working in educator roles across Scotland. Our digital infrastructure enables materials and support to be accessed anywhere, and from any device. </w:t>
      </w:r>
    </w:p>
    <w:p w14:paraId="1D3809E1" w14:textId="77777777" w:rsidR="00772597" w:rsidRPr="00772597" w:rsidRDefault="00772597" w:rsidP="00772597">
      <w:pPr>
        <w:autoSpaceDE w:val="0"/>
        <w:autoSpaceDN w:val="0"/>
        <w:adjustRightInd w:val="0"/>
        <w:spacing w:line="360" w:lineRule="auto"/>
        <w:rPr>
          <w:rFonts w:ascii="Arial" w:eastAsia="Arial" w:hAnsi="Arial" w:cs="Arial"/>
          <w:color w:val="000000" w:themeColor="text1"/>
        </w:rPr>
      </w:pPr>
    </w:p>
    <w:p w14:paraId="62F2AA97" w14:textId="77777777" w:rsidR="00772597" w:rsidRPr="00772597" w:rsidRDefault="00772597" w:rsidP="00072FED">
      <w:pPr>
        <w:pStyle w:val="Heading2"/>
        <w:rPr>
          <w:rFonts w:eastAsia="Arial"/>
        </w:rPr>
      </w:pPr>
      <w:r w:rsidRPr="00772597">
        <w:rPr>
          <w:rFonts w:eastAsia="Arial"/>
        </w:rPr>
        <w:t xml:space="preserve">What more can we do? </w:t>
      </w:r>
    </w:p>
    <w:p w14:paraId="12875BCB" w14:textId="77777777" w:rsidR="00772597" w:rsidRPr="00772597" w:rsidRDefault="00772597" w:rsidP="00772597">
      <w:pPr>
        <w:autoSpaceDE w:val="0"/>
        <w:autoSpaceDN w:val="0"/>
        <w:adjustRightInd w:val="0"/>
        <w:spacing w:line="360" w:lineRule="auto"/>
        <w:rPr>
          <w:rFonts w:ascii="Arial" w:eastAsia="Arial" w:hAnsi="Arial" w:cs="Arial"/>
          <w:color w:val="000000" w:themeColor="text1"/>
        </w:rPr>
      </w:pPr>
    </w:p>
    <w:p w14:paraId="6DD934AA" w14:textId="77777777" w:rsidR="00772597" w:rsidRPr="00772597" w:rsidRDefault="00772597" w:rsidP="00772597">
      <w:pPr>
        <w:autoSpaceDE w:val="0"/>
        <w:autoSpaceDN w:val="0"/>
        <w:adjustRightInd w:val="0"/>
        <w:spacing w:line="360" w:lineRule="auto"/>
        <w:rPr>
          <w:rFonts w:ascii="Arial" w:eastAsia="Arial" w:hAnsi="Arial" w:cs="Arial"/>
          <w:color w:val="000000" w:themeColor="text1"/>
        </w:rPr>
      </w:pPr>
      <w:r w:rsidRPr="00772597">
        <w:rPr>
          <w:rFonts w:ascii="Arial" w:eastAsia="Arial" w:hAnsi="Arial" w:cs="Arial"/>
          <w:color w:val="000000" w:themeColor="text1"/>
        </w:rPr>
        <w:t xml:space="preserve">The publication of the Health and Social Care Delivery Plan in December 2016 signalled a change in the way that NHS Boards work. We need to work more collaboratively and focus on how we use our collective resources and expertise to support Better Health, Better Care and Better Value, at a local, regional and national level.   </w:t>
      </w:r>
    </w:p>
    <w:p w14:paraId="40C64742" w14:textId="77777777" w:rsidR="00772597" w:rsidRPr="00772597" w:rsidRDefault="00772597" w:rsidP="00772597">
      <w:pPr>
        <w:autoSpaceDE w:val="0"/>
        <w:autoSpaceDN w:val="0"/>
        <w:adjustRightInd w:val="0"/>
        <w:spacing w:line="360" w:lineRule="auto"/>
        <w:rPr>
          <w:rFonts w:ascii="Arial" w:eastAsia="Arial" w:hAnsi="Arial" w:cs="Arial"/>
          <w:color w:val="000000" w:themeColor="text1"/>
        </w:rPr>
      </w:pPr>
    </w:p>
    <w:p w14:paraId="25E453F8" w14:textId="77777777" w:rsidR="00772597" w:rsidRPr="00772597" w:rsidRDefault="00772597" w:rsidP="00772597">
      <w:pPr>
        <w:autoSpaceDE w:val="0"/>
        <w:autoSpaceDN w:val="0"/>
        <w:adjustRightInd w:val="0"/>
        <w:spacing w:line="360" w:lineRule="auto"/>
        <w:rPr>
          <w:rFonts w:ascii="Arial" w:eastAsia="Arial" w:hAnsi="Arial" w:cs="Arial"/>
          <w:color w:val="000000" w:themeColor="text1"/>
        </w:rPr>
      </w:pPr>
      <w:r w:rsidRPr="00772597">
        <w:rPr>
          <w:rFonts w:ascii="Arial" w:eastAsia="Arial" w:hAnsi="Arial" w:cs="Arial"/>
          <w:color w:val="000000" w:themeColor="text1"/>
        </w:rPr>
        <w:t xml:space="preserve">We will continue to support the people who work in NHSScotland and across the care sector.  We will do this by providing access to training and education. Increasingly we </w:t>
      </w:r>
      <w:r w:rsidRPr="00772597">
        <w:rPr>
          <w:rFonts w:ascii="Arial" w:eastAsia="Arial" w:hAnsi="Arial" w:cs="Arial"/>
          <w:color w:val="000000" w:themeColor="text1"/>
        </w:rPr>
        <w:lastRenderedPageBreak/>
        <w:t xml:space="preserve">also support a user-centred digital infrastructure, and opportunities to do things ‘Once for Scotland’ that improve the experience of the workforce.  We will also analyse the data that we hold, and that held by other organisations to improve workforce planning and workforce development at a local, regional and national level. </w:t>
      </w:r>
    </w:p>
    <w:p w14:paraId="437615BA" w14:textId="77777777" w:rsidR="00772597" w:rsidRPr="00772597" w:rsidRDefault="00772597" w:rsidP="00772597">
      <w:pPr>
        <w:autoSpaceDE w:val="0"/>
        <w:autoSpaceDN w:val="0"/>
        <w:adjustRightInd w:val="0"/>
        <w:spacing w:line="360" w:lineRule="auto"/>
        <w:rPr>
          <w:rFonts w:ascii="Arial" w:eastAsia="Arial" w:hAnsi="Arial" w:cs="Arial"/>
          <w:color w:val="000000" w:themeColor="text1"/>
        </w:rPr>
      </w:pPr>
    </w:p>
    <w:p w14:paraId="277FD797" w14:textId="352D7A48" w:rsidR="008C638D" w:rsidRPr="008C48EC" w:rsidRDefault="009A6714" w:rsidP="009A6714">
      <w:pPr>
        <w:pStyle w:val="Heading2"/>
      </w:pPr>
      <w:r>
        <w:t>Our approach to equal pay</w:t>
      </w:r>
    </w:p>
    <w:p w14:paraId="277FD798" w14:textId="71684E83" w:rsidR="00180A66" w:rsidRDefault="51E9A9B4" w:rsidP="00AF0A00">
      <w:pPr>
        <w:autoSpaceDE w:val="0"/>
        <w:autoSpaceDN w:val="0"/>
        <w:adjustRightInd w:val="0"/>
        <w:spacing w:line="360" w:lineRule="auto"/>
        <w:rPr>
          <w:rFonts w:ascii="Arial" w:eastAsia="Arial" w:hAnsi="Arial" w:cs="Arial"/>
          <w:color w:val="000000" w:themeColor="text1"/>
        </w:rPr>
      </w:pPr>
      <w:r w:rsidRPr="51E9A9B4">
        <w:rPr>
          <w:rFonts w:ascii="Arial" w:eastAsia="Arial" w:hAnsi="Arial" w:cs="Arial"/>
          <w:color w:val="000000" w:themeColor="text1"/>
        </w:rPr>
        <w:t xml:space="preserve">We aim to be an exemplar employer, promoting equality </w:t>
      </w:r>
      <w:r w:rsidR="00D77EF0">
        <w:rPr>
          <w:rFonts w:ascii="Arial" w:eastAsia="Arial" w:hAnsi="Arial" w:cs="Arial"/>
          <w:color w:val="000000" w:themeColor="text1"/>
        </w:rPr>
        <w:t xml:space="preserve">and fair work practices </w:t>
      </w:r>
      <w:r w:rsidRPr="51E9A9B4">
        <w:rPr>
          <w:rFonts w:ascii="Arial" w:eastAsia="Arial" w:hAnsi="Arial" w:cs="Arial"/>
          <w:color w:val="000000" w:themeColor="text1"/>
        </w:rPr>
        <w:t>across the organisation, through equal pay and the elimination of bias in NES’s employment practices. NES aims to apply nationally agreed pay systems to its staff in a just and equitable manner, as is the legal right of every employee.</w:t>
      </w:r>
    </w:p>
    <w:p w14:paraId="277FD799" w14:textId="77777777" w:rsidR="00BA3DCB" w:rsidRDefault="00BA3DCB" w:rsidP="00AF0A00">
      <w:pPr>
        <w:autoSpaceDE w:val="0"/>
        <w:autoSpaceDN w:val="0"/>
        <w:adjustRightInd w:val="0"/>
        <w:spacing w:line="360" w:lineRule="auto"/>
        <w:rPr>
          <w:rFonts w:ascii="Arial" w:hAnsi="Arial" w:cs="Arial"/>
          <w:color w:val="000000"/>
        </w:rPr>
      </w:pPr>
    </w:p>
    <w:p w14:paraId="277FD79A" w14:textId="77777777" w:rsidR="00BA3DCB" w:rsidRPr="00BA3DCB" w:rsidRDefault="51E9A9B4" w:rsidP="00AF0A00">
      <w:pPr>
        <w:autoSpaceDE w:val="0"/>
        <w:autoSpaceDN w:val="0"/>
        <w:adjustRightInd w:val="0"/>
        <w:spacing w:line="360" w:lineRule="auto"/>
        <w:rPr>
          <w:rFonts w:ascii="Arial" w:eastAsia="Arial" w:hAnsi="Arial" w:cs="Arial"/>
          <w:color w:val="000000" w:themeColor="text1"/>
        </w:rPr>
      </w:pPr>
      <w:r w:rsidRPr="51E9A9B4">
        <w:rPr>
          <w:rFonts w:ascii="Arial" w:eastAsia="Arial" w:hAnsi="Arial" w:cs="Arial"/>
          <w:color w:val="000000" w:themeColor="text1"/>
        </w:rPr>
        <w:t xml:space="preserve">This report provides a summary of NES’s analysis of occupational segregation within the organisation by gender, race and disability.  Occupational segregation refers to the distribution of people defined by specific characteristics, for example, gender, race or disability, into different types of work. Occupational segregation occurs both between and within economic sectors, and is typically described in two ways: </w:t>
      </w:r>
    </w:p>
    <w:p w14:paraId="277FD79B" w14:textId="77777777" w:rsidR="004B1B29" w:rsidRDefault="51E9A9B4" w:rsidP="005D1546">
      <w:pPr>
        <w:numPr>
          <w:ilvl w:val="0"/>
          <w:numId w:val="25"/>
        </w:numPr>
        <w:autoSpaceDE w:val="0"/>
        <w:autoSpaceDN w:val="0"/>
        <w:adjustRightInd w:val="0"/>
        <w:spacing w:line="360" w:lineRule="auto"/>
        <w:rPr>
          <w:rFonts w:ascii="Arial" w:eastAsia="Arial" w:hAnsi="Arial" w:cs="Arial"/>
          <w:color w:val="000000" w:themeColor="text1"/>
        </w:rPr>
      </w:pPr>
      <w:r w:rsidRPr="51E9A9B4">
        <w:rPr>
          <w:rFonts w:ascii="Arial" w:eastAsia="Arial" w:hAnsi="Arial" w:cs="Arial"/>
          <w:color w:val="000000" w:themeColor="text1"/>
        </w:rPr>
        <w:t xml:space="preserve">Horizontal segregation refers to the clustering of people, e.g. men and women, into different types of work. For example, within the NHS, the majority of nurses are women, while men are more likely to work in facilities and maintenance roles. </w:t>
      </w:r>
    </w:p>
    <w:p w14:paraId="277FD79C" w14:textId="77777777" w:rsidR="004B1B29" w:rsidRDefault="51E9A9B4" w:rsidP="005D1546">
      <w:pPr>
        <w:numPr>
          <w:ilvl w:val="0"/>
          <w:numId w:val="25"/>
        </w:numPr>
        <w:autoSpaceDE w:val="0"/>
        <w:autoSpaceDN w:val="0"/>
        <w:adjustRightInd w:val="0"/>
        <w:spacing w:line="360" w:lineRule="auto"/>
        <w:rPr>
          <w:rFonts w:ascii="Arial" w:eastAsia="Arial" w:hAnsi="Arial" w:cs="Arial"/>
          <w:color w:val="000000" w:themeColor="text1"/>
        </w:rPr>
      </w:pPr>
      <w:r w:rsidRPr="51E9A9B4">
        <w:rPr>
          <w:rFonts w:ascii="Arial" w:eastAsia="Arial" w:hAnsi="Arial" w:cs="Arial"/>
          <w:color w:val="000000" w:themeColor="text1"/>
        </w:rPr>
        <w:t>Vertical segregation refers to the clustering of people, e.g. men and women, into different levels of work (e</w:t>
      </w:r>
      <w:r w:rsidR="007D0CFB">
        <w:rPr>
          <w:rFonts w:ascii="Arial" w:eastAsia="Arial" w:hAnsi="Arial" w:cs="Arial"/>
          <w:color w:val="000000" w:themeColor="text1"/>
        </w:rPr>
        <w:t>.</w:t>
      </w:r>
      <w:r w:rsidRPr="51E9A9B4">
        <w:rPr>
          <w:rFonts w:ascii="Arial" w:eastAsia="Arial" w:hAnsi="Arial" w:cs="Arial"/>
          <w:color w:val="000000" w:themeColor="text1"/>
        </w:rPr>
        <w:t>g</w:t>
      </w:r>
      <w:r w:rsidR="007D0CFB">
        <w:rPr>
          <w:rFonts w:ascii="Arial" w:eastAsia="Arial" w:hAnsi="Arial" w:cs="Arial"/>
          <w:color w:val="000000" w:themeColor="text1"/>
        </w:rPr>
        <w:t>.</w:t>
      </w:r>
      <w:r w:rsidRPr="51E9A9B4">
        <w:rPr>
          <w:rFonts w:ascii="Arial" w:eastAsia="Arial" w:hAnsi="Arial" w:cs="Arial"/>
          <w:color w:val="000000" w:themeColor="text1"/>
        </w:rPr>
        <w:t xml:space="preserve"> at different pay bands). </w:t>
      </w:r>
    </w:p>
    <w:p w14:paraId="277FD79D" w14:textId="77777777" w:rsidR="00BA3DCB" w:rsidRPr="008C48EC" w:rsidRDefault="00BA3DCB" w:rsidP="00AF0A00">
      <w:pPr>
        <w:autoSpaceDE w:val="0"/>
        <w:autoSpaceDN w:val="0"/>
        <w:adjustRightInd w:val="0"/>
        <w:spacing w:line="360" w:lineRule="auto"/>
        <w:rPr>
          <w:rFonts w:ascii="Arial" w:hAnsi="Arial" w:cs="Arial"/>
          <w:color w:val="000000"/>
        </w:rPr>
      </w:pPr>
    </w:p>
    <w:p w14:paraId="277FD79E" w14:textId="77777777" w:rsidR="00180A66" w:rsidRPr="008C48EC" w:rsidRDefault="00700BEB" w:rsidP="00AF0A00">
      <w:pPr>
        <w:autoSpaceDE w:val="0"/>
        <w:autoSpaceDN w:val="0"/>
        <w:adjustRightInd w:val="0"/>
        <w:spacing w:line="360" w:lineRule="auto"/>
        <w:rPr>
          <w:rFonts w:ascii="Arial" w:eastAsia="Arial" w:hAnsi="Arial" w:cs="Arial"/>
          <w:color w:val="000000" w:themeColor="text1"/>
        </w:rPr>
      </w:pPr>
      <w:r w:rsidRPr="4A954F25">
        <w:rPr>
          <w:rFonts w:ascii="Arial" w:eastAsia="Arial" w:hAnsi="Arial" w:cs="Arial"/>
          <w:color w:val="000000"/>
        </w:rPr>
        <w:t>This report also provides information on NES’s gender pay gap, as set out in the Equality Act 2010 (Specific Duties) (Scotland) Regulations</w:t>
      </w:r>
      <w:r w:rsidRPr="4A954F25">
        <w:rPr>
          <w:rStyle w:val="FootnoteReference"/>
          <w:rFonts w:ascii="Arial" w:eastAsia="Arial" w:hAnsi="Arial" w:cs="Arial"/>
          <w:color w:val="000000"/>
        </w:rPr>
        <w:footnoteReference w:id="8"/>
      </w:r>
      <w:r w:rsidR="008C638D" w:rsidRPr="4A954F25">
        <w:rPr>
          <w:rFonts w:ascii="Arial" w:eastAsia="Arial" w:hAnsi="Arial" w:cs="Arial"/>
          <w:color w:val="000000"/>
        </w:rPr>
        <w:t>.</w:t>
      </w:r>
    </w:p>
    <w:p w14:paraId="277FD79F" w14:textId="77777777" w:rsidR="00700BEB" w:rsidRDefault="00700BEB" w:rsidP="00AF0A00">
      <w:pPr>
        <w:autoSpaceDE w:val="0"/>
        <w:autoSpaceDN w:val="0"/>
        <w:adjustRightInd w:val="0"/>
        <w:spacing w:line="360" w:lineRule="auto"/>
        <w:rPr>
          <w:rFonts w:ascii="Arial" w:hAnsi="Arial" w:cs="Arial"/>
          <w:b/>
          <w:bCs/>
          <w:color w:val="000000"/>
        </w:rPr>
      </w:pPr>
    </w:p>
    <w:p w14:paraId="277FD7A0" w14:textId="1B37CB85" w:rsidR="00180A66" w:rsidRPr="005D1546" w:rsidRDefault="51E9A9B4" w:rsidP="005D1546">
      <w:pPr>
        <w:pStyle w:val="ListParagraph"/>
        <w:numPr>
          <w:ilvl w:val="0"/>
          <w:numId w:val="26"/>
        </w:numPr>
        <w:autoSpaceDE w:val="0"/>
        <w:autoSpaceDN w:val="0"/>
        <w:adjustRightInd w:val="0"/>
        <w:spacing w:line="360" w:lineRule="auto"/>
        <w:ind w:left="284" w:hanging="284"/>
        <w:rPr>
          <w:rFonts w:ascii="Arial" w:eastAsia="Arial" w:hAnsi="Arial" w:cs="Arial"/>
          <w:b/>
          <w:bCs/>
          <w:color w:val="000000" w:themeColor="text1"/>
          <w:sz w:val="28"/>
        </w:rPr>
      </w:pPr>
      <w:r w:rsidRPr="005D1546">
        <w:rPr>
          <w:rFonts w:ascii="Arial" w:eastAsia="Arial" w:hAnsi="Arial" w:cs="Arial"/>
          <w:b/>
          <w:bCs/>
          <w:color w:val="000000" w:themeColor="text1"/>
          <w:sz w:val="28"/>
        </w:rPr>
        <w:t>Employee data</w:t>
      </w:r>
    </w:p>
    <w:p w14:paraId="277FD7A1" w14:textId="77777777" w:rsidR="00824D5E" w:rsidRPr="008C48EC" w:rsidRDefault="00824D5E" w:rsidP="00AF0A00">
      <w:pPr>
        <w:autoSpaceDE w:val="0"/>
        <w:autoSpaceDN w:val="0"/>
        <w:adjustRightInd w:val="0"/>
        <w:spacing w:line="360" w:lineRule="auto"/>
        <w:rPr>
          <w:rFonts w:ascii="Arial" w:hAnsi="Arial" w:cs="Arial"/>
          <w:b/>
          <w:bCs/>
          <w:color w:val="000000"/>
        </w:rPr>
      </w:pPr>
    </w:p>
    <w:p w14:paraId="277FD7A2" w14:textId="0549A1E6" w:rsidR="00180A66" w:rsidRDefault="51E9A9B4" w:rsidP="00AF0A00">
      <w:pPr>
        <w:autoSpaceDE w:val="0"/>
        <w:autoSpaceDN w:val="0"/>
        <w:adjustRightInd w:val="0"/>
        <w:spacing w:line="360" w:lineRule="auto"/>
        <w:rPr>
          <w:rFonts w:ascii="Arial" w:eastAsia="Arial" w:hAnsi="Arial" w:cs="Arial"/>
          <w:color w:val="000000" w:themeColor="text1"/>
        </w:rPr>
      </w:pPr>
      <w:r w:rsidRPr="51E9A9B4">
        <w:rPr>
          <w:rFonts w:ascii="Arial" w:eastAsia="Arial" w:hAnsi="Arial" w:cs="Arial"/>
          <w:color w:val="000000" w:themeColor="text1"/>
        </w:rPr>
        <w:t>Employee data within NES is held on our HR system. This is an information management system, accessible only by authorised users and contains employee information gathered and managed in accordance with data protection principles.</w:t>
      </w:r>
      <w:r w:rsidR="00FC5415">
        <w:rPr>
          <w:rFonts w:ascii="Arial" w:eastAsia="Arial" w:hAnsi="Arial" w:cs="Arial"/>
          <w:color w:val="000000" w:themeColor="text1"/>
        </w:rPr>
        <w:t xml:space="preserve"> </w:t>
      </w:r>
      <w:r w:rsidR="00883228">
        <w:rPr>
          <w:rFonts w:ascii="Arial" w:eastAsia="Arial" w:hAnsi="Arial" w:cs="Arial"/>
          <w:color w:val="000000" w:themeColor="text1"/>
        </w:rPr>
        <w:t xml:space="preserve">NES is </w:t>
      </w:r>
      <w:r w:rsidR="00883228">
        <w:rPr>
          <w:rFonts w:ascii="Arial" w:eastAsia="Arial" w:hAnsi="Arial" w:cs="Arial"/>
          <w:color w:val="000000" w:themeColor="text1"/>
        </w:rPr>
        <w:lastRenderedPageBreak/>
        <w:t>developing people analytics practices, processes and systems across the organisation</w:t>
      </w:r>
      <w:r w:rsidR="001F3D64">
        <w:rPr>
          <w:rFonts w:ascii="Arial" w:eastAsia="Arial" w:hAnsi="Arial" w:cs="Arial"/>
          <w:color w:val="000000" w:themeColor="text1"/>
        </w:rPr>
        <w:t>, this</w:t>
      </w:r>
      <w:r w:rsidR="00341AC0">
        <w:rPr>
          <w:rFonts w:ascii="Arial" w:eastAsia="Arial" w:hAnsi="Arial" w:cs="Arial"/>
          <w:color w:val="000000" w:themeColor="text1"/>
        </w:rPr>
        <w:t xml:space="preserve"> will not only enhance our performance and </w:t>
      </w:r>
      <w:r w:rsidR="001F3D64">
        <w:rPr>
          <w:rFonts w:ascii="Arial" w:eastAsia="Arial" w:hAnsi="Arial" w:cs="Arial"/>
          <w:color w:val="000000" w:themeColor="text1"/>
        </w:rPr>
        <w:t>productivity</w:t>
      </w:r>
      <w:r w:rsidR="00341AC0">
        <w:rPr>
          <w:rFonts w:ascii="Arial" w:eastAsia="Arial" w:hAnsi="Arial" w:cs="Arial"/>
          <w:color w:val="000000" w:themeColor="text1"/>
        </w:rPr>
        <w:t>, it will also provide job quality gains</w:t>
      </w:r>
      <w:r w:rsidR="001F3D64">
        <w:rPr>
          <w:rFonts w:ascii="Arial" w:eastAsia="Arial" w:hAnsi="Arial" w:cs="Arial"/>
          <w:color w:val="000000" w:themeColor="text1"/>
        </w:rPr>
        <w:t xml:space="preserve"> due to improvements in </w:t>
      </w:r>
      <w:proofErr w:type="gramStart"/>
      <w:r w:rsidR="001F3D64">
        <w:rPr>
          <w:rFonts w:ascii="Arial" w:eastAsia="Arial" w:hAnsi="Arial" w:cs="Arial"/>
          <w:color w:val="000000" w:themeColor="text1"/>
        </w:rPr>
        <w:t>evidence based</w:t>
      </w:r>
      <w:proofErr w:type="gramEnd"/>
      <w:r w:rsidR="001F3D64">
        <w:rPr>
          <w:rFonts w:ascii="Arial" w:eastAsia="Arial" w:hAnsi="Arial" w:cs="Arial"/>
          <w:color w:val="000000" w:themeColor="text1"/>
        </w:rPr>
        <w:t xml:space="preserve"> decision making.</w:t>
      </w:r>
    </w:p>
    <w:p w14:paraId="277FD7A3" w14:textId="77777777" w:rsidR="00700BEB" w:rsidRDefault="00700BEB" w:rsidP="00AF0A00">
      <w:pPr>
        <w:autoSpaceDE w:val="0"/>
        <w:autoSpaceDN w:val="0"/>
        <w:adjustRightInd w:val="0"/>
        <w:spacing w:line="360" w:lineRule="auto"/>
        <w:rPr>
          <w:rFonts w:ascii="Arial" w:hAnsi="Arial" w:cs="Arial"/>
          <w:color w:val="000000"/>
        </w:rPr>
      </w:pPr>
    </w:p>
    <w:p w14:paraId="277FD7A4" w14:textId="402A5E90" w:rsidR="00700BEB" w:rsidRPr="008C48EC" w:rsidRDefault="00700BEB" w:rsidP="00AF0A00">
      <w:pPr>
        <w:autoSpaceDE w:val="0"/>
        <w:autoSpaceDN w:val="0"/>
        <w:adjustRightInd w:val="0"/>
        <w:spacing w:line="360" w:lineRule="auto"/>
        <w:rPr>
          <w:rFonts w:ascii="Arial" w:eastAsia="Arial" w:hAnsi="Arial" w:cs="Arial"/>
          <w:color w:val="000000" w:themeColor="text1"/>
        </w:rPr>
      </w:pPr>
      <w:r w:rsidRPr="4A954F25">
        <w:rPr>
          <w:rFonts w:ascii="Arial" w:eastAsia="Arial" w:hAnsi="Arial" w:cs="Arial"/>
          <w:color w:val="000000"/>
        </w:rPr>
        <w:t>We report annually on the composition of our workforce and on staff development, progression and retention in the Annual Workforce Plan, which is published on our website</w:t>
      </w:r>
      <w:r w:rsidR="008C638D" w:rsidRPr="4A954F25">
        <w:rPr>
          <w:rStyle w:val="FootnoteReference"/>
          <w:rFonts w:ascii="Arial" w:eastAsia="Arial" w:hAnsi="Arial" w:cs="Arial"/>
          <w:color w:val="000000"/>
        </w:rPr>
        <w:footnoteReference w:id="9"/>
      </w:r>
      <w:r w:rsidRPr="4A954F25">
        <w:rPr>
          <w:rFonts w:ascii="Arial" w:eastAsia="Arial" w:hAnsi="Arial" w:cs="Arial"/>
          <w:color w:val="000000"/>
        </w:rPr>
        <w:t xml:space="preserve">. We report on the use of this data biennially in our mainstreaming reports. The data in this report reflects the composition of NES staff at the end of the </w:t>
      </w:r>
      <w:r w:rsidR="00C24F1B">
        <w:rPr>
          <w:rFonts w:ascii="Arial" w:eastAsia="Arial" w:hAnsi="Arial" w:cs="Arial"/>
          <w:color w:val="000000"/>
        </w:rPr>
        <w:t>2019-2020</w:t>
      </w:r>
      <w:r w:rsidRPr="4A954F25">
        <w:rPr>
          <w:rFonts w:ascii="Arial" w:eastAsia="Arial" w:hAnsi="Arial" w:cs="Arial"/>
          <w:color w:val="000000"/>
        </w:rPr>
        <w:t xml:space="preserve"> financial year (31 March </w:t>
      </w:r>
      <w:r w:rsidR="00C24F1B">
        <w:rPr>
          <w:rFonts w:ascii="Arial" w:eastAsia="Arial" w:hAnsi="Arial" w:cs="Arial"/>
          <w:color w:val="000000"/>
        </w:rPr>
        <w:t>2020</w:t>
      </w:r>
      <w:r w:rsidRPr="4A954F25">
        <w:rPr>
          <w:rFonts w:ascii="Arial" w:eastAsia="Arial" w:hAnsi="Arial" w:cs="Arial"/>
          <w:color w:val="000000"/>
        </w:rPr>
        <w:t xml:space="preserve">), so that it aligns with the most recent workforce </w:t>
      </w:r>
      <w:r w:rsidR="00EA157D">
        <w:rPr>
          <w:rFonts w:ascii="Arial" w:eastAsia="Arial" w:hAnsi="Arial" w:cs="Arial"/>
          <w:color w:val="000000"/>
        </w:rPr>
        <w:t>plan</w:t>
      </w:r>
      <w:r w:rsidR="00D95C10" w:rsidRPr="4A954F25">
        <w:rPr>
          <w:rFonts w:ascii="Arial" w:eastAsia="Arial" w:hAnsi="Arial" w:cs="Arial"/>
          <w:color w:val="000000"/>
        </w:rPr>
        <w:t>.</w:t>
      </w:r>
      <w:r w:rsidR="00F54A89" w:rsidRPr="4A954F25">
        <w:rPr>
          <w:rFonts w:ascii="Arial" w:eastAsia="Arial" w:hAnsi="Arial" w:cs="Arial"/>
          <w:color w:val="000000"/>
        </w:rPr>
        <w:t xml:space="preserve"> </w:t>
      </w:r>
    </w:p>
    <w:p w14:paraId="277FD7A5" w14:textId="77777777" w:rsidR="00180A66" w:rsidRPr="008C48EC" w:rsidRDefault="00180A66" w:rsidP="00AF0A00">
      <w:pPr>
        <w:autoSpaceDE w:val="0"/>
        <w:autoSpaceDN w:val="0"/>
        <w:adjustRightInd w:val="0"/>
        <w:spacing w:line="360" w:lineRule="auto"/>
        <w:rPr>
          <w:rFonts w:ascii="Arial" w:hAnsi="Arial" w:cs="Arial"/>
          <w:color w:val="000000"/>
        </w:rPr>
      </w:pPr>
    </w:p>
    <w:p w14:paraId="277FD7A6" w14:textId="0E81C0A9" w:rsidR="00180A66" w:rsidRPr="005D1546" w:rsidRDefault="005D1546" w:rsidP="005D1546">
      <w:pPr>
        <w:autoSpaceDE w:val="0"/>
        <w:autoSpaceDN w:val="0"/>
        <w:adjustRightInd w:val="0"/>
        <w:spacing w:line="360" w:lineRule="auto"/>
        <w:rPr>
          <w:rFonts w:ascii="Arial" w:eastAsia="Arial" w:hAnsi="Arial" w:cs="Arial"/>
          <w:b/>
          <w:bCs/>
          <w:color w:val="000000" w:themeColor="text1"/>
          <w:sz w:val="28"/>
        </w:rPr>
      </w:pPr>
      <w:r w:rsidRPr="005D1546">
        <w:rPr>
          <w:rFonts w:ascii="Arial" w:eastAsia="Arial" w:hAnsi="Arial" w:cs="Arial"/>
          <w:b/>
          <w:bCs/>
          <w:color w:val="000000" w:themeColor="text1"/>
          <w:sz w:val="28"/>
        </w:rPr>
        <w:t>3.</w:t>
      </w:r>
      <w:r>
        <w:rPr>
          <w:rFonts w:ascii="Arial" w:eastAsia="Arial" w:hAnsi="Arial" w:cs="Arial"/>
          <w:b/>
          <w:bCs/>
          <w:color w:val="000000" w:themeColor="text1"/>
          <w:sz w:val="28"/>
        </w:rPr>
        <w:t xml:space="preserve"> </w:t>
      </w:r>
      <w:r w:rsidR="51E9A9B4" w:rsidRPr="005D1546">
        <w:rPr>
          <w:rFonts w:ascii="Arial" w:eastAsia="Arial" w:hAnsi="Arial" w:cs="Arial"/>
          <w:b/>
          <w:bCs/>
          <w:color w:val="000000" w:themeColor="text1"/>
          <w:sz w:val="28"/>
        </w:rPr>
        <w:t>NES Workforce</w:t>
      </w:r>
      <w:r w:rsidR="003F55FE" w:rsidRPr="005D1546">
        <w:rPr>
          <w:rFonts w:ascii="Arial" w:eastAsia="Arial" w:hAnsi="Arial" w:cs="Arial"/>
          <w:b/>
          <w:bCs/>
          <w:color w:val="000000" w:themeColor="text1"/>
          <w:sz w:val="28"/>
        </w:rPr>
        <w:t>: Terms and Conditions of Employment</w:t>
      </w:r>
    </w:p>
    <w:p w14:paraId="277FD7A7" w14:textId="77777777" w:rsidR="005241BE" w:rsidRPr="008C48EC" w:rsidRDefault="005241BE" w:rsidP="00AF0A00">
      <w:pPr>
        <w:autoSpaceDE w:val="0"/>
        <w:autoSpaceDN w:val="0"/>
        <w:adjustRightInd w:val="0"/>
        <w:spacing w:line="360" w:lineRule="auto"/>
        <w:rPr>
          <w:rFonts w:ascii="Arial" w:hAnsi="Arial" w:cs="Arial"/>
          <w:color w:val="000000"/>
        </w:rPr>
      </w:pPr>
    </w:p>
    <w:p w14:paraId="277FD7A8" w14:textId="77777777" w:rsidR="008C1DE9" w:rsidRDefault="51E9A9B4" w:rsidP="00AF0A00">
      <w:pPr>
        <w:autoSpaceDE w:val="0"/>
        <w:autoSpaceDN w:val="0"/>
        <w:adjustRightInd w:val="0"/>
        <w:spacing w:line="360" w:lineRule="auto"/>
        <w:rPr>
          <w:rFonts w:ascii="Arial" w:eastAsia="Arial" w:hAnsi="Arial" w:cs="Arial"/>
          <w:color w:val="000000" w:themeColor="text1"/>
        </w:rPr>
      </w:pPr>
      <w:r w:rsidRPr="51E9A9B4">
        <w:rPr>
          <w:rFonts w:ascii="Arial" w:eastAsia="Arial" w:hAnsi="Arial" w:cs="Arial"/>
          <w:color w:val="000000" w:themeColor="text1"/>
        </w:rPr>
        <w:t>The NES workforce profile is complex. We employ a number of staff for whom NES is their main employer, with the majority employed under National Health Service Agenda for Change (A4C) Contract and Terms and Conditions of employment.  A4C is a nationally negotiated and agreed NHS contract of employment which includes provisions on pay, pay progression and terms and conditions of employment. Agenda for Change applies to most of the staff groups working in the National Health Service, with the exception of doctors, dentists and some executive level managers.</w:t>
      </w:r>
    </w:p>
    <w:p w14:paraId="277FD7A9" w14:textId="77777777" w:rsidR="008C1DE9" w:rsidRDefault="008C1DE9" w:rsidP="00AF0A00">
      <w:pPr>
        <w:autoSpaceDE w:val="0"/>
        <w:autoSpaceDN w:val="0"/>
        <w:adjustRightInd w:val="0"/>
        <w:spacing w:line="360" w:lineRule="auto"/>
        <w:rPr>
          <w:rFonts w:ascii="Arial" w:hAnsi="Arial" w:cs="Arial"/>
          <w:color w:val="000000"/>
        </w:rPr>
      </w:pPr>
    </w:p>
    <w:p w14:paraId="277FD7AA" w14:textId="77777777" w:rsidR="000859EE" w:rsidRPr="008C48EC" w:rsidRDefault="51E9A9B4" w:rsidP="00AF0A00">
      <w:pPr>
        <w:autoSpaceDE w:val="0"/>
        <w:autoSpaceDN w:val="0"/>
        <w:adjustRightInd w:val="0"/>
        <w:spacing w:line="360" w:lineRule="auto"/>
        <w:rPr>
          <w:rFonts w:ascii="Arial" w:eastAsia="Arial" w:hAnsi="Arial" w:cs="Arial"/>
          <w:color w:val="000000" w:themeColor="text1"/>
        </w:rPr>
      </w:pPr>
      <w:r w:rsidRPr="51E9A9B4">
        <w:rPr>
          <w:rFonts w:ascii="Arial" w:eastAsia="Arial" w:hAnsi="Arial" w:cs="Arial"/>
          <w:color w:val="000000" w:themeColor="text1"/>
        </w:rPr>
        <w:t xml:space="preserve">We also employ a significant number of staff for whom NES is not the primary employer. Most of these staff are on NHS Consultant and General Practice (GP) and General Dental Practice (GDP) Educator contracts of employment. They undertake sessional work for us. In the tables in this report, these staff will be described as GP/GPD Educators or Consultants, or as ‘Educational Roles (non-A4C)’. They are remunerated by NES on the pay determined by their substantive employer, which in most instances is one of the territorial boards. Consultant and other clinical contracts are also national contractual agreements which prescribe pay, pay progression and terms and conditions.  </w:t>
      </w:r>
    </w:p>
    <w:p w14:paraId="277FD7AB" w14:textId="77777777" w:rsidR="00DD4316" w:rsidRPr="008C48EC" w:rsidRDefault="00DD4316" w:rsidP="00AF0A00">
      <w:pPr>
        <w:autoSpaceDE w:val="0"/>
        <w:autoSpaceDN w:val="0"/>
        <w:adjustRightInd w:val="0"/>
        <w:spacing w:line="360" w:lineRule="auto"/>
        <w:rPr>
          <w:rFonts w:ascii="Arial" w:hAnsi="Arial" w:cs="Arial"/>
          <w:color w:val="000000"/>
        </w:rPr>
      </w:pPr>
    </w:p>
    <w:p w14:paraId="277FD7AD" w14:textId="42C1AE8A" w:rsidR="00FF2261" w:rsidRDefault="00475C46" w:rsidP="00475C46">
      <w:pPr>
        <w:autoSpaceDE w:val="0"/>
        <w:autoSpaceDN w:val="0"/>
        <w:adjustRightInd w:val="0"/>
        <w:spacing w:line="360" w:lineRule="auto"/>
        <w:rPr>
          <w:rFonts w:ascii="Arial" w:eastAsia="Arial" w:hAnsi="Arial" w:cs="Arial"/>
          <w:color w:val="000000" w:themeColor="text1"/>
          <w:lang w:val="en-US"/>
        </w:rPr>
      </w:pPr>
      <w:r w:rsidRPr="00475C46">
        <w:rPr>
          <w:rFonts w:ascii="Arial" w:eastAsia="Arial" w:hAnsi="Arial" w:cs="Arial"/>
          <w:color w:val="000000" w:themeColor="text1"/>
          <w:lang w:val="en-US"/>
        </w:rPr>
        <w:t xml:space="preserve">In 2018, NES assumed employment of all GP Specialty Trainees in Scotland throughout their education journey as part of the Lead Employer programme aimed at Improving the Working Lives of Junior Doctors. </w:t>
      </w:r>
      <w:r w:rsidR="00892283">
        <w:rPr>
          <w:rFonts w:ascii="Arial" w:eastAsia="Arial" w:hAnsi="Arial" w:cs="Arial"/>
          <w:color w:val="000000" w:themeColor="text1"/>
          <w:lang w:val="en-US"/>
        </w:rPr>
        <w:t xml:space="preserve">Since then, </w:t>
      </w:r>
      <w:r w:rsidRPr="00475C46">
        <w:rPr>
          <w:rFonts w:ascii="Arial" w:eastAsia="Arial" w:hAnsi="Arial" w:cs="Arial"/>
          <w:color w:val="000000" w:themeColor="text1"/>
          <w:lang w:val="en-US"/>
        </w:rPr>
        <w:t xml:space="preserve">NES </w:t>
      </w:r>
      <w:r w:rsidR="00892283">
        <w:rPr>
          <w:rFonts w:ascii="Arial" w:eastAsia="Arial" w:hAnsi="Arial" w:cs="Arial"/>
          <w:color w:val="000000" w:themeColor="text1"/>
          <w:lang w:val="en-US"/>
        </w:rPr>
        <w:t xml:space="preserve">has </w:t>
      </w:r>
      <w:proofErr w:type="gramStart"/>
      <w:r w:rsidR="00892283">
        <w:rPr>
          <w:rFonts w:ascii="Arial" w:eastAsia="Arial" w:hAnsi="Arial" w:cs="Arial"/>
          <w:color w:val="000000" w:themeColor="text1"/>
          <w:lang w:val="en-US"/>
        </w:rPr>
        <w:t xml:space="preserve">become </w:t>
      </w:r>
      <w:r w:rsidRPr="00475C46">
        <w:rPr>
          <w:rFonts w:ascii="Arial" w:eastAsia="Arial" w:hAnsi="Arial" w:cs="Arial"/>
          <w:color w:val="000000" w:themeColor="text1"/>
          <w:lang w:val="en-US"/>
        </w:rPr>
        <w:t xml:space="preserve"> the</w:t>
      </w:r>
      <w:proofErr w:type="gramEnd"/>
      <w:r w:rsidRPr="00475C46">
        <w:rPr>
          <w:rFonts w:ascii="Arial" w:eastAsia="Arial" w:hAnsi="Arial" w:cs="Arial"/>
          <w:color w:val="000000" w:themeColor="text1"/>
          <w:lang w:val="en-US"/>
        </w:rPr>
        <w:t xml:space="preserve"> Lead Employer for </w:t>
      </w:r>
      <w:r w:rsidR="00892283">
        <w:rPr>
          <w:rFonts w:ascii="Arial" w:eastAsia="Arial" w:hAnsi="Arial" w:cs="Arial"/>
          <w:color w:val="000000" w:themeColor="text1"/>
          <w:lang w:val="en-US"/>
        </w:rPr>
        <w:lastRenderedPageBreak/>
        <w:t>all national programme</w:t>
      </w:r>
      <w:r w:rsidRPr="00475C46">
        <w:rPr>
          <w:rFonts w:ascii="Arial" w:eastAsia="Arial" w:hAnsi="Arial" w:cs="Arial"/>
          <w:color w:val="000000" w:themeColor="text1"/>
          <w:lang w:val="en-US"/>
        </w:rPr>
        <w:t xml:space="preserve"> specialty trainees. </w:t>
      </w:r>
      <w:r w:rsidR="00892283">
        <w:rPr>
          <w:rFonts w:ascii="Arial" w:eastAsia="Arial" w:hAnsi="Arial" w:cs="Arial"/>
          <w:color w:val="000000" w:themeColor="text1"/>
          <w:lang w:val="en-US"/>
        </w:rPr>
        <w:t>The</w:t>
      </w:r>
      <w:r w:rsidR="00972D76">
        <w:rPr>
          <w:rFonts w:ascii="Arial" w:eastAsia="Arial" w:hAnsi="Arial" w:cs="Arial"/>
          <w:color w:val="000000" w:themeColor="text1"/>
          <w:lang w:val="en-US"/>
        </w:rPr>
        <w:t xml:space="preserve"> GP and national programme specialty</w:t>
      </w:r>
      <w:r w:rsidRPr="00475C46">
        <w:rPr>
          <w:rFonts w:ascii="Arial" w:eastAsia="Arial" w:hAnsi="Arial" w:cs="Arial"/>
          <w:color w:val="000000" w:themeColor="text1"/>
          <w:lang w:val="en-US"/>
        </w:rPr>
        <w:t xml:space="preserve"> trainees are listed in the tables as ‘Doctors in Training’.</w:t>
      </w:r>
    </w:p>
    <w:p w14:paraId="77C660F0" w14:textId="77777777" w:rsidR="00475C46" w:rsidRPr="008C48EC" w:rsidRDefault="00475C46" w:rsidP="00475C46">
      <w:pPr>
        <w:autoSpaceDE w:val="0"/>
        <w:autoSpaceDN w:val="0"/>
        <w:adjustRightInd w:val="0"/>
        <w:spacing w:line="360" w:lineRule="auto"/>
        <w:rPr>
          <w:rFonts w:ascii="Arial" w:hAnsi="Arial" w:cs="Arial"/>
          <w:color w:val="000000"/>
        </w:rPr>
      </w:pPr>
    </w:p>
    <w:p w14:paraId="277FD7AE" w14:textId="77777777" w:rsidR="00912047" w:rsidRPr="008C48EC" w:rsidRDefault="51E9A9B4" w:rsidP="00AF0A00">
      <w:pPr>
        <w:autoSpaceDE w:val="0"/>
        <w:autoSpaceDN w:val="0"/>
        <w:adjustRightInd w:val="0"/>
        <w:spacing w:line="360" w:lineRule="auto"/>
        <w:rPr>
          <w:rFonts w:ascii="Arial" w:eastAsia="Arial" w:hAnsi="Arial" w:cs="Arial"/>
          <w:color w:val="000000" w:themeColor="text1"/>
        </w:rPr>
      </w:pPr>
      <w:r w:rsidRPr="51E9A9B4">
        <w:rPr>
          <w:rFonts w:ascii="Arial" w:eastAsia="Arial" w:hAnsi="Arial" w:cs="Arial"/>
          <w:color w:val="000000" w:themeColor="text1"/>
        </w:rPr>
        <w:t xml:space="preserve">We also employ staff on NHS Scotland Executive contracts of employment (Executive Cohort) which are evaluated using national grading policies with prescribed pay ranges and terms and conditions of employment. </w:t>
      </w:r>
    </w:p>
    <w:p w14:paraId="277FD7AF" w14:textId="77777777" w:rsidR="00545C14" w:rsidRPr="00AF0A00" w:rsidRDefault="00545C14" w:rsidP="00AF0A00">
      <w:pPr>
        <w:autoSpaceDE w:val="0"/>
        <w:autoSpaceDN w:val="0"/>
        <w:adjustRightInd w:val="0"/>
        <w:spacing w:line="360" w:lineRule="auto"/>
        <w:rPr>
          <w:rFonts w:ascii="Arial" w:hAnsi="Arial" w:cs="Arial"/>
          <w:b/>
          <w:color w:val="000000"/>
          <w:sz w:val="28"/>
          <w:szCs w:val="28"/>
        </w:rPr>
      </w:pPr>
    </w:p>
    <w:p w14:paraId="277FD7B0" w14:textId="042DBE74" w:rsidR="00545C14" w:rsidRPr="005D1546" w:rsidRDefault="005D1546" w:rsidP="005D1546">
      <w:pPr>
        <w:autoSpaceDE w:val="0"/>
        <w:autoSpaceDN w:val="0"/>
        <w:adjustRightInd w:val="0"/>
        <w:spacing w:line="360" w:lineRule="auto"/>
        <w:rPr>
          <w:rFonts w:ascii="Arial" w:eastAsia="Arial" w:hAnsi="Arial" w:cs="Arial"/>
          <w:b/>
          <w:bCs/>
          <w:color w:val="000000" w:themeColor="text1"/>
          <w:sz w:val="28"/>
          <w:szCs w:val="28"/>
        </w:rPr>
      </w:pPr>
      <w:r w:rsidRPr="005D1546">
        <w:rPr>
          <w:rFonts w:ascii="Arial" w:eastAsia="Arial" w:hAnsi="Arial" w:cs="Arial"/>
          <w:b/>
          <w:bCs/>
          <w:color w:val="000000" w:themeColor="text1"/>
          <w:sz w:val="28"/>
          <w:szCs w:val="28"/>
        </w:rPr>
        <w:t>4.</w:t>
      </w:r>
      <w:r>
        <w:rPr>
          <w:rFonts w:ascii="Arial" w:eastAsia="Arial" w:hAnsi="Arial" w:cs="Arial"/>
          <w:b/>
          <w:bCs/>
          <w:color w:val="000000" w:themeColor="text1"/>
          <w:sz w:val="28"/>
          <w:szCs w:val="28"/>
        </w:rPr>
        <w:t xml:space="preserve"> </w:t>
      </w:r>
      <w:r w:rsidR="51E9A9B4" w:rsidRPr="005D1546">
        <w:rPr>
          <w:rFonts w:ascii="Arial" w:eastAsia="Arial" w:hAnsi="Arial" w:cs="Arial"/>
          <w:b/>
          <w:bCs/>
          <w:color w:val="000000" w:themeColor="text1"/>
          <w:sz w:val="28"/>
          <w:szCs w:val="28"/>
        </w:rPr>
        <w:t>Gender Pay Gap</w:t>
      </w:r>
    </w:p>
    <w:p w14:paraId="277FD7B1" w14:textId="77777777" w:rsidR="00545C14" w:rsidRDefault="00545C14" w:rsidP="00AF0A00">
      <w:pPr>
        <w:autoSpaceDE w:val="0"/>
        <w:autoSpaceDN w:val="0"/>
        <w:adjustRightInd w:val="0"/>
        <w:spacing w:line="360" w:lineRule="auto"/>
        <w:rPr>
          <w:rFonts w:ascii="Arial" w:hAnsi="Arial" w:cs="Arial"/>
          <w:b/>
          <w:color w:val="000000"/>
        </w:rPr>
      </w:pPr>
    </w:p>
    <w:p w14:paraId="277FD7B2" w14:textId="77777777" w:rsidR="00545C14" w:rsidRPr="005F7A29" w:rsidRDefault="51E9A9B4" w:rsidP="00AF0A00">
      <w:pPr>
        <w:autoSpaceDE w:val="0"/>
        <w:autoSpaceDN w:val="0"/>
        <w:adjustRightInd w:val="0"/>
        <w:spacing w:line="360" w:lineRule="auto"/>
        <w:rPr>
          <w:rFonts w:ascii="Arial" w:eastAsia="Arial" w:hAnsi="Arial" w:cs="Arial"/>
          <w:color w:val="000000" w:themeColor="text1"/>
        </w:rPr>
      </w:pPr>
      <w:r w:rsidRPr="005F7A29">
        <w:rPr>
          <w:rFonts w:ascii="Arial" w:eastAsia="Arial" w:hAnsi="Arial" w:cs="Arial"/>
          <w:color w:val="000000" w:themeColor="text1"/>
        </w:rPr>
        <w:t>The Equality Act 2010 (Specific Duties) (Scotland) Regulations</w:t>
      </w:r>
      <w:r w:rsidR="00C5231D" w:rsidRPr="005F7A29">
        <w:rPr>
          <w:rFonts w:ascii="Arial" w:eastAsia="Arial" w:hAnsi="Arial" w:cs="Arial"/>
          <w:color w:val="000000" w:themeColor="text1"/>
        </w:rPr>
        <w:t xml:space="preserve"> 2012</w:t>
      </w:r>
      <w:r w:rsidR="00C5231D" w:rsidRPr="005F7A29">
        <w:rPr>
          <w:rStyle w:val="FootnoteReference"/>
          <w:rFonts w:ascii="Arial" w:eastAsia="Arial" w:hAnsi="Arial" w:cs="Arial"/>
          <w:color w:val="000000" w:themeColor="text1"/>
        </w:rPr>
        <w:footnoteReference w:id="10"/>
      </w:r>
      <w:r w:rsidRPr="005F7A29">
        <w:rPr>
          <w:rFonts w:ascii="Arial" w:eastAsia="Arial" w:hAnsi="Arial" w:cs="Arial"/>
          <w:color w:val="000000" w:themeColor="text1"/>
        </w:rPr>
        <w:t xml:space="preserve"> specify </w:t>
      </w:r>
      <w:r w:rsidR="002663C2" w:rsidRPr="005F7A29">
        <w:rPr>
          <w:rFonts w:ascii="Arial" w:eastAsia="Arial" w:hAnsi="Arial" w:cs="Arial"/>
          <w:color w:val="000000" w:themeColor="text1"/>
        </w:rPr>
        <w:t xml:space="preserve">that public authorities must report the gender pay gap </w:t>
      </w:r>
      <w:r w:rsidR="00231275" w:rsidRPr="005F7A29">
        <w:rPr>
          <w:rFonts w:ascii="Arial" w:eastAsia="Arial" w:hAnsi="Arial" w:cs="Arial"/>
          <w:color w:val="000000" w:themeColor="text1"/>
        </w:rPr>
        <w:t>in the form of ‘</w:t>
      </w:r>
      <w:r w:rsidR="00231275" w:rsidRPr="005F7A29">
        <w:rPr>
          <w:rFonts w:ascii="Arial" w:hAnsi="Arial" w:cs="Arial"/>
        </w:rPr>
        <w:t>information on the percentage difference among its employees between men’s average hourly pay (excluding overtime) and women’s average hourly pay (excluding overtime)’</w:t>
      </w:r>
      <w:r w:rsidR="002663C2" w:rsidRPr="005F7A29">
        <w:rPr>
          <w:rFonts w:ascii="Arial" w:eastAsia="Arial" w:hAnsi="Arial" w:cs="Arial"/>
          <w:color w:val="000000" w:themeColor="text1"/>
        </w:rPr>
        <w:t>. The specific formula used for this calculation is the formula for the average pay gap set out in the guidance published by Close the Gap</w:t>
      </w:r>
      <w:r w:rsidR="002663C2" w:rsidRPr="005F7A29">
        <w:rPr>
          <w:rStyle w:val="FootnoteReference"/>
          <w:rFonts w:ascii="Arial" w:eastAsia="Arial" w:hAnsi="Arial" w:cs="Arial"/>
          <w:color w:val="000000" w:themeColor="text1"/>
        </w:rPr>
        <w:footnoteReference w:id="11"/>
      </w:r>
      <w:r w:rsidR="002663C2" w:rsidRPr="005F7A29">
        <w:rPr>
          <w:rFonts w:ascii="Arial" w:eastAsia="Arial" w:hAnsi="Arial" w:cs="Arial"/>
          <w:color w:val="000000" w:themeColor="text1"/>
        </w:rPr>
        <w:t>.</w:t>
      </w:r>
      <w:r w:rsidR="00231275" w:rsidRPr="005F7A29">
        <w:rPr>
          <w:rFonts w:ascii="Arial" w:eastAsia="Arial" w:hAnsi="Arial" w:cs="Arial"/>
          <w:color w:val="000000" w:themeColor="text1"/>
        </w:rPr>
        <w:t xml:space="preserve"> The specific formula is:</w:t>
      </w:r>
      <w:r w:rsidR="002663C2" w:rsidRPr="005F7A29">
        <w:rPr>
          <w:rFonts w:ascii="Arial" w:eastAsia="Arial" w:hAnsi="Arial" w:cs="Arial"/>
          <w:color w:val="000000" w:themeColor="text1"/>
        </w:rPr>
        <w:t xml:space="preserve"> </w:t>
      </w:r>
      <w:r w:rsidR="00231275" w:rsidRPr="00DA5F0D">
        <w:rPr>
          <w:rFonts w:asciiTheme="minorBidi" w:eastAsia="Arial" w:hAnsiTheme="minorBidi" w:cstheme="minorBidi"/>
          <w:color w:val="000000" w:themeColor="text1"/>
        </w:rPr>
        <w:t>(</w:t>
      </w:r>
      <w:r w:rsidR="00231275" w:rsidRPr="00DA5F0D">
        <w:rPr>
          <w:rFonts w:asciiTheme="minorBidi" w:hAnsiTheme="minorBidi" w:cstheme="minorBidi"/>
          <w:lang w:eastAsia="ja-JP"/>
        </w:rPr>
        <w:t>A – B)/A X 100, where A = average hourly</w:t>
      </w:r>
      <w:r w:rsidR="005916AD" w:rsidRPr="00DA5F0D">
        <w:rPr>
          <w:rFonts w:asciiTheme="minorBidi" w:hAnsiTheme="minorBidi" w:cstheme="minorBidi"/>
          <w:lang w:eastAsia="ja-JP"/>
        </w:rPr>
        <w:t xml:space="preserve"> rate of </w:t>
      </w:r>
      <w:r w:rsidR="00231275" w:rsidRPr="00DA5F0D">
        <w:rPr>
          <w:rFonts w:asciiTheme="minorBidi" w:hAnsiTheme="minorBidi" w:cstheme="minorBidi"/>
          <w:lang w:eastAsia="ja-JP"/>
        </w:rPr>
        <w:t xml:space="preserve">pay of </w:t>
      </w:r>
      <w:r w:rsidR="005916AD" w:rsidRPr="00DA5F0D">
        <w:rPr>
          <w:rFonts w:asciiTheme="minorBidi" w:hAnsiTheme="minorBidi" w:cstheme="minorBidi"/>
          <w:lang w:eastAsia="ja-JP"/>
        </w:rPr>
        <w:t>men</w:t>
      </w:r>
      <w:r w:rsidR="00231275" w:rsidRPr="00DA5F0D">
        <w:rPr>
          <w:rFonts w:asciiTheme="minorBidi" w:hAnsiTheme="minorBidi" w:cstheme="minorBidi"/>
          <w:lang w:eastAsia="ja-JP"/>
        </w:rPr>
        <w:t xml:space="preserve"> and B = average hourly</w:t>
      </w:r>
      <w:r w:rsidR="005916AD" w:rsidRPr="00DA5F0D">
        <w:rPr>
          <w:rFonts w:asciiTheme="minorBidi" w:hAnsiTheme="minorBidi" w:cstheme="minorBidi"/>
          <w:lang w:eastAsia="ja-JP"/>
        </w:rPr>
        <w:t xml:space="preserve"> rate of</w:t>
      </w:r>
      <w:r w:rsidR="00231275" w:rsidRPr="00DA5F0D">
        <w:rPr>
          <w:rFonts w:asciiTheme="minorBidi" w:hAnsiTheme="minorBidi" w:cstheme="minorBidi"/>
          <w:lang w:eastAsia="ja-JP"/>
        </w:rPr>
        <w:t xml:space="preserve"> pay of </w:t>
      </w:r>
      <w:r w:rsidR="005916AD" w:rsidRPr="00DA5F0D">
        <w:rPr>
          <w:rFonts w:asciiTheme="minorBidi" w:hAnsiTheme="minorBidi" w:cstheme="minorBidi"/>
          <w:lang w:eastAsia="ja-JP"/>
        </w:rPr>
        <w:t>women</w:t>
      </w:r>
      <w:r w:rsidR="00231275" w:rsidRPr="005F7A29">
        <w:rPr>
          <w:rFonts w:ascii="CorporateSansBQ-Regular" w:hAnsi="CorporateSansBQ-Regular" w:cs="CorporateSansBQ-Regular"/>
          <w:lang w:eastAsia="ja-JP"/>
        </w:rPr>
        <w:t>.</w:t>
      </w:r>
    </w:p>
    <w:p w14:paraId="277FD7B3" w14:textId="77777777" w:rsidR="00545C14" w:rsidRPr="005F7A29" w:rsidRDefault="00545C14" w:rsidP="00AF0A00">
      <w:pPr>
        <w:spacing w:line="360" w:lineRule="auto"/>
        <w:rPr>
          <w:rFonts w:ascii="Arial" w:hAnsi="Arial" w:cs="Arial"/>
          <w:color w:val="000000"/>
        </w:rPr>
      </w:pPr>
    </w:p>
    <w:p w14:paraId="41D6141E" w14:textId="77777777" w:rsidR="00712009" w:rsidRDefault="51E9A9B4" w:rsidP="00712009">
      <w:pPr>
        <w:spacing w:line="360" w:lineRule="auto"/>
        <w:rPr>
          <w:rFonts w:ascii="Arial" w:hAnsi="Arial" w:cs="Arial"/>
          <w:color w:val="000000"/>
        </w:rPr>
      </w:pPr>
      <w:r w:rsidRPr="005F7A29">
        <w:rPr>
          <w:rFonts w:ascii="Arial" w:eastAsia="Arial" w:hAnsi="Arial" w:cs="Arial"/>
          <w:color w:val="000000" w:themeColor="text1"/>
        </w:rPr>
        <w:t>Using this method of analysis, NES’s overall gender pay gap is</w:t>
      </w:r>
      <w:r w:rsidR="00BC5937">
        <w:rPr>
          <w:rFonts w:ascii="Arial" w:eastAsia="Arial" w:hAnsi="Arial" w:cs="Arial"/>
          <w:color w:val="000000" w:themeColor="text1"/>
        </w:rPr>
        <w:t xml:space="preserve"> </w:t>
      </w:r>
      <w:r w:rsidR="00531B15">
        <w:rPr>
          <w:rFonts w:ascii="Arial" w:eastAsia="Arial" w:hAnsi="Arial" w:cs="Arial"/>
          <w:color w:val="000000" w:themeColor="text1"/>
        </w:rPr>
        <w:t>7.28%</w:t>
      </w:r>
      <w:r w:rsidRPr="005F7A29">
        <w:rPr>
          <w:rFonts w:ascii="Arial" w:eastAsia="Arial" w:hAnsi="Arial" w:cs="Arial"/>
          <w:color w:val="000000" w:themeColor="text1"/>
        </w:rPr>
        <w:t>.</w:t>
      </w:r>
      <w:r w:rsidR="007844AD" w:rsidRPr="005F7A29">
        <w:rPr>
          <w:rFonts w:ascii="Arial" w:eastAsia="Arial" w:hAnsi="Arial" w:cs="Arial"/>
          <w:color w:val="000000" w:themeColor="text1"/>
        </w:rPr>
        <w:t xml:space="preserve"> The average hourly pay for women is £</w:t>
      </w:r>
      <w:r w:rsidR="008253F3">
        <w:rPr>
          <w:rFonts w:ascii="Arial" w:eastAsia="Arial" w:hAnsi="Arial" w:cs="Arial"/>
          <w:color w:val="000000" w:themeColor="text1"/>
        </w:rPr>
        <w:t>20.75</w:t>
      </w:r>
      <w:r w:rsidR="007844AD" w:rsidRPr="005F7A29">
        <w:rPr>
          <w:rFonts w:ascii="Arial" w:eastAsia="Arial" w:hAnsi="Arial" w:cs="Arial"/>
          <w:color w:val="000000" w:themeColor="text1"/>
        </w:rPr>
        <w:t xml:space="preserve"> and for men is £2</w:t>
      </w:r>
      <w:r w:rsidR="007365F1">
        <w:rPr>
          <w:rFonts w:ascii="Arial" w:eastAsia="Arial" w:hAnsi="Arial" w:cs="Arial"/>
          <w:color w:val="000000" w:themeColor="text1"/>
        </w:rPr>
        <w:t>2</w:t>
      </w:r>
      <w:r w:rsidR="007844AD" w:rsidRPr="005F7A29">
        <w:rPr>
          <w:rFonts w:ascii="Arial" w:eastAsia="Arial" w:hAnsi="Arial" w:cs="Arial"/>
          <w:color w:val="000000" w:themeColor="text1"/>
        </w:rPr>
        <w:t>.</w:t>
      </w:r>
      <w:r w:rsidR="007365F1">
        <w:rPr>
          <w:rFonts w:ascii="Arial" w:eastAsia="Arial" w:hAnsi="Arial" w:cs="Arial"/>
          <w:color w:val="000000" w:themeColor="text1"/>
        </w:rPr>
        <w:t>38</w:t>
      </w:r>
      <w:r w:rsidR="007844AD" w:rsidRPr="005F7A29">
        <w:rPr>
          <w:rFonts w:ascii="Arial" w:eastAsia="Arial" w:hAnsi="Arial" w:cs="Arial"/>
          <w:color w:val="000000" w:themeColor="text1"/>
        </w:rPr>
        <w:t>.</w:t>
      </w:r>
      <w:r w:rsidR="00531B15">
        <w:rPr>
          <w:rFonts w:ascii="Arial" w:eastAsia="Arial" w:hAnsi="Arial" w:cs="Arial"/>
          <w:color w:val="000000" w:themeColor="text1"/>
        </w:rPr>
        <w:t xml:space="preserve"> </w:t>
      </w:r>
      <w:r w:rsidR="00712009">
        <w:rPr>
          <w:rFonts w:ascii="Arial" w:hAnsi="Arial" w:cs="Arial"/>
          <w:color w:val="000000"/>
        </w:rPr>
        <w:t>Our current gender pay gap is below the Scottish public sector average of 12.8%</w:t>
      </w:r>
      <w:r w:rsidR="00712009">
        <w:rPr>
          <w:rStyle w:val="FootnoteReference"/>
          <w:rFonts w:ascii="Arial" w:hAnsi="Arial" w:cs="Arial"/>
          <w:color w:val="000000"/>
        </w:rPr>
        <w:footnoteReference w:id="12"/>
      </w:r>
      <w:r w:rsidR="00712009">
        <w:rPr>
          <w:rFonts w:ascii="Arial" w:hAnsi="Arial" w:cs="Arial"/>
          <w:color w:val="000000"/>
        </w:rPr>
        <w:t>.</w:t>
      </w:r>
    </w:p>
    <w:p w14:paraId="3F1479D1" w14:textId="77777777" w:rsidR="00712009" w:rsidRDefault="00712009" w:rsidP="00AF0A00">
      <w:pPr>
        <w:spacing w:line="360" w:lineRule="auto"/>
        <w:rPr>
          <w:rFonts w:ascii="Arial" w:eastAsia="Arial" w:hAnsi="Arial" w:cs="Arial"/>
          <w:color w:val="000000" w:themeColor="text1"/>
        </w:rPr>
      </w:pPr>
    </w:p>
    <w:p w14:paraId="277FD7B4" w14:textId="280ABD7F" w:rsidR="00545C14" w:rsidRPr="005F7A29" w:rsidRDefault="00531B15" w:rsidP="00AF0A00">
      <w:pPr>
        <w:spacing w:line="360" w:lineRule="auto"/>
        <w:rPr>
          <w:rFonts w:ascii="Arial" w:eastAsia="Arial" w:hAnsi="Arial" w:cs="Arial"/>
          <w:color w:val="000000" w:themeColor="text1"/>
        </w:rPr>
      </w:pPr>
      <w:r>
        <w:rPr>
          <w:rFonts w:ascii="Arial" w:eastAsia="Arial" w:hAnsi="Arial" w:cs="Arial"/>
          <w:color w:val="000000" w:themeColor="text1"/>
        </w:rPr>
        <w:t xml:space="preserve">This represents a significant improvement from 2017, when our overall gender pay gap was </w:t>
      </w:r>
      <w:r w:rsidRPr="005F7A29">
        <w:rPr>
          <w:rFonts w:ascii="Arial" w:eastAsia="Arial" w:hAnsi="Arial" w:cs="Arial"/>
          <w:color w:val="000000" w:themeColor="text1"/>
        </w:rPr>
        <w:t>19%</w:t>
      </w:r>
      <w:r>
        <w:rPr>
          <w:rFonts w:ascii="Arial" w:eastAsia="Arial" w:hAnsi="Arial" w:cs="Arial"/>
          <w:color w:val="000000" w:themeColor="text1"/>
        </w:rPr>
        <w:t>.</w:t>
      </w:r>
      <w:r w:rsidR="008253F3" w:rsidRPr="008253F3">
        <w:rPr>
          <w:rFonts w:ascii="Arial" w:eastAsia="Arial" w:hAnsi="Arial" w:cs="Arial"/>
          <w:color w:val="000000" w:themeColor="text1"/>
        </w:rPr>
        <w:t xml:space="preserve"> </w:t>
      </w:r>
      <w:r w:rsidR="007365F1">
        <w:rPr>
          <w:rFonts w:ascii="Arial" w:eastAsia="Arial" w:hAnsi="Arial" w:cs="Arial"/>
          <w:color w:val="000000" w:themeColor="text1"/>
        </w:rPr>
        <w:t>In 2017, the</w:t>
      </w:r>
      <w:r w:rsidR="008253F3" w:rsidRPr="005F7A29">
        <w:rPr>
          <w:rFonts w:ascii="Arial" w:eastAsia="Arial" w:hAnsi="Arial" w:cs="Arial"/>
          <w:color w:val="000000" w:themeColor="text1"/>
        </w:rPr>
        <w:t xml:space="preserve"> average hourly pay for women </w:t>
      </w:r>
      <w:r w:rsidR="007365F1">
        <w:rPr>
          <w:rFonts w:ascii="Arial" w:eastAsia="Arial" w:hAnsi="Arial" w:cs="Arial"/>
          <w:color w:val="000000" w:themeColor="text1"/>
        </w:rPr>
        <w:t>was</w:t>
      </w:r>
      <w:r w:rsidR="008253F3" w:rsidRPr="005F7A29">
        <w:rPr>
          <w:rFonts w:ascii="Arial" w:eastAsia="Arial" w:hAnsi="Arial" w:cs="Arial"/>
          <w:color w:val="000000" w:themeColor="text1"/>
        </w:rPr>
        <w:t xml:space="preserve"> £19.28 and for men </w:t>
      </w:r>
      <w:r w:rsidR="007365F1">
        <w:rPr>
          <w:rFonts w:ascii="Arial" w:eastAsia="Arial" w:hAnsi="Arial" w:cs="Arial"/>
          <w:color w:val="000000" w:themeColor="text1"/>
        </w:rPr>
        <w:t>was</w:t>
      </w:r>
      <w:r w:rsidR="008253F3" w:rsidRPr="005F7A29">
        <w:rPr>
          <w:rFonts w:ascii="Arial" w:eastAsia="Arial" w:hAnsi="Arial" w:cs="Arial"/>
          <w:color w:val="000000" w:themeColor="text1"/>
        </w:rPr>
        <w:t xml:space="preserve"> £23.80</w:t>
      </w:r>
      <w:r w:rsidR="007365F1">
        <w:rPr>
          <w:rFonts w:ascii="Arial" w:eastAsia="Arial" w:hAnsi="Arial" w:cs="Arial"/>
          <w:color w:val="000000" w:themeColor="text1"/>
        </w:rPr>
        <w:t>.</w:t>
      </w:r>
      <w:r w:rsidR="0017602A">
        <w:rPr>
          <w:rFonts w:ascii="Arial" w:eastAsia="Arial" w:hAnsi="Arial" w:cs="Arial"/>
          <w:color w:val="000000" w:themeColor="text1"/>
        </w:rPr>
        <w:t xml:space="preserve"> </w:t>
      </w:r>
      <w:r w:rsidR="00FD5BCD">
        <w:rPr>
          <w:rFonts w:ascii="Arial" w:eastAsia="Arial" w:hAnsi="Arial" w:cs="Arial"/>
          <w:color w:val="000000" w:themeColor="text1"/>
        </w:rPr>
        <w:t>In 2019, the overall pay gap was 13.%.</w:t>
      </w:r>
    </w:p>
    <w:p w14:paraId="277FD7B5" w14:textId="76592B64" w:rsidR="00233E65" w:rsidRDefault="00233E65" w:rsidP="00AF0A00">
      <w:pPr>
        <w:spacing w:line="360" w:lineRule="auto"/>
        <w:rPr>
          <w:rFonts w:ascii="Arial" w:hAnsi="Arial" w:cs="Arial"/>
          <w:color w:val="000000"/>
        </w:rPr>
      </w:pPr>
    </w:p>
    <w:p w14:paraId="277FD7B6" w14:textId="77777777" w:rsidR="00233E65" w:rsidRDefault="51E9A9B4" w:rsidP="00AF0A00">
      <w:pPr>
        <w:spacing w:line="360" w:lineRule="auto"/>
        <w:rPr>
          <w:rFonts w:ascii="Arial" w:eastAsia="Arial" w:hAnsi="Arial" w:cs="Arial"/>
          <w:color w:val="000000" w:themeColor="text1"/>
        </w:rPr>
      </w:pPr>
      <w:r w:rsidRPr="005F7A29">
        <w:rPr>
          <w:rFonts w:ascii="Arial" w:eastAsia="Arial" w:hAnsi="Arial" w:cs="Arial"/>
          <w:color w:val="000000" w:themeColor="text1"/>
        </w:rPr>
        <w:t>In presenting the information set out below, the nature of the calculations- based on average pay figures- means that the data is very susceptible to being skewed by small numbers of outlying pay levels. This is very relevant for the profile of the NES workforce and the data below needs to be reviewed within that context.</w:t>
      </w:r>
      <w:r w:rsidRPr="51E9A9B4">
        <w:rPr>
          <w:rFonts w:ascii="Arial" w:eastAsia="Arial" w:hAnsi="Arial" w:cs="Arial"/>
          <w:color w:val="000000" w:themeColor="text1"/>
        </w:rPr>
        <w:t xml:space="preserve"> </w:t>
      </w:r>
    </w:p>
    <w:p w14:paraId="277FD7B7" w14:textId="77777777" w:rsidR="003F55FE" w:rsidRDefault="003F55FE" w:rsidP="00AF0A00">
      <w:pPr>
        <w:spacing w:line="360" w:lineRule="auto"/>
        <w:rPr>
          <w:rFonts w:ascii="Arial" w:eastAsia="Arial" w:hAnsi="Arial" w:cs="Arial"/>
          <w:color w:val="000000" w:themeColor="text1"/>
        </w:rPr>
      </w:pPr>
    </w:p>
    <w:p w14:paraId="277FD7B8" w14:textId="2B16FDF0" w:rsidR="003F55FE" w:rsidRDefault="003F55FE" w:rsidP="00AF0A00">
      <w:pPr>
        <w:spacing w:line="360" w:lineRule="auto"/>
        <w:rPr>
          <w:rFonts w:ascii="Arial" w:eastAsia="Arial" w:hAnsi="Arial" w:cs="Arial"/>
          <w:color w:val="000000" w:themeColor="text1"/>
        </w:rPr>
      </w:pPr>
      <w:r w:rsidRPr="51E9A9B4">
        <w:rPr>
          <w:rFonts w:ascii="Arial" w:eastAsia="Arial" w:hAnsi="Arial" w:cs="Arial"/>
          <w:color w:val="000000" w:themeColor="text1"/>
        </w:rPr>
        <w:t>Because we employ staff on different sets of nationally agreed terms and conditions, we</w:t>
      </w:r>
      <w:r w:rsidR="005916AD">
        <w:rPr>
          <w:rFonts w:ascii="Arial" w:eastAsia="Arial" w:hAnsi="Arial" w:cs="Arial"/>
          <w:color w:val="000000" w:themeColor="text1"/>
        </w:rPr>
        <w:t xml:space="preserve"> also</w:t>
      </w:r>
      <w:r w:rsidRPr="51E9A9B4">
        <w:rPr>
          <w:rFonts w:ascii="Arial" w:eastAsia="Arial" w:hAnsi="Arial" w:cs="Arial"/>
          <w:color w:val="000000" w:themeColor="text1"/>
        </w:rPr>
        <w:t xml:space="preserve"> carried out a detailed analysis of women’s and men’s pay within each pay band of the A4C contract group, the Consultant and GP/GDP Educator contract group and the </w:t>
      </w:r>
      <w:r w:rsidR="00513304">
        <w:rPr>
          <w:rFonts w:ascii="Arial" w:eastAsia="Arial" w:hAnsi="Arial" w:cs="Arial"/>
          <w:color w:val="000000" w:themeColor="text1"/>
        </w:rPr>
        <w:t xml:space="preserve">Doctors in Training </w:t>
      </w:r>
      <w:r>
        <w:rPr>
          <w:rFonts w:ascii="Arial" w:eastAsia="Arial" w:hAnsi="Arial" w:cs="Arial"/>
          <w:color w:val="000000" w:themeColor="text1"/>
        </w:rPr>
        <w:t>contract group</w:t>
      </w:r>
      <w:r w:rsidR="005916AD">
        <w:rPr>
          <w:rFonts w:ascii="Arial" w:eastAsia="Arial" w:hAnsi="Arial" w:cs="Arial"/>
          <w:color w:val="000000" w:themeColor="text1"/>
        </w:rPr>
        <w:t xml:space="preserve"> to inform our understanding of the factors contributing to the overall pay gap</w:t>
      </w:r>
      <w:r>
        <w:rPr>
          <w:rFonts w:ascii="Arial" w:eastAsia="Arial" w:hAnsi="Arial" w:cs="Arial"/>
          <w:color w:val="000000" w:themeColor="text1"/>
        </w:rPr>
        <w:t>.</w:t>
      </w:r>
      <w:r w:rsidR="007844AD">
        <w:rPr>
          <w:rFonts w:ascii="Arial" w:eastAsia="Arial" w:hAnsi="Arial" w:cs="Arial"/>
          <w:color w:val="000000" w:themeColor="text1"/>
        </w:rPr>
        <w:t xml:space="preserve"> </w:t>
      </w:r>
    </w:p>
    <w:p w14:paraId="277FD7B9" w14:textId="77777777" w:rsidR="003F55FE" w:rsidRDefault="003F55FE" w:rsidP="00AF0A00">
      <w:pPr>
        <w:spacing w:line="360" w:lineRule="auto"/>
        <w:rPr>
          <w:rFonts w:ascii="Arial" w:eastAsia="Arial" w:hAnsi="Arial" w:cs="Arial"/>
          <w:color w:val="000000" w:themeColor="text1"/>
        </w:rPr>
      </w:pPr>
    </w:p>
    <w:p w14:paraId="277FD7BA" w14:textId="57016264" w:rsidR="003F55FE" w:rsidRDefault="003F55FE" w:rsidP="00CF6998">
      <w:pPr>
        <w:spacing w:line="360" w:lineRule="auto"/>
        <w:rPr>
          <w:rFonts w:ascii="Arial" w:eastAsia="Arial" w:hAnsi="Arial" w:cs="Arial"/>
          <w:color w:val="000000" w:themeColor="text1"/>
        </w:rPr>
      </w:pPr>
      <w:r>
        <w:rPr>
          <w:rFonts w:ascii="Arial" w:eastAsia="Arial" w:hAnsi="Arial" w:cs="Arial"/>
          <w:color w:val="000000" w:themeColor="text1"/>
        </w:rPr>
        <w:t>Table 1 provides a summary of the hourly pay rate and the gender pay gap for each contract group.</w:t>
      </w:r>
      <w:r w:rsidR="007844AD">
        <w:rPr>
          <w:rFonts w:ascii="Arial" w:eastAsia="Arial" w:hAnsi="Arial" w:cs="Arial"/>
          <w:color w:val="000000" w:themeColor="text1"/>
        </w:rPr>
        <w:t xml:space="preserve"> The figures reported in this table show a comparison between women’s and men’s average hourly pay within the specific contract group.</w:t>
      </w:r>
      <w:r w:rsidR="005201E0">
        <w:rPr>
          <w:rFonts w:ascii="Arial" w:eastAsia="Arial" w:hAnsi="Arial" w:cs="Arial"/>
          <w:color w:val="000000" w:themeColor="text1"/>
        </w:rPr>
        <w:t xml:space="preserve"> </w:t>
      </w:r>
    </w:p>
    <w:p w14:paraId="277FD7BB" w14:textId="77777777" w:rsidR="00545C14" w:rsidRDefault="00545C14" w:rsidP="00AF0A00">
      <w:pPr>
        <w:spacing w:line="360" w:lineRule="auto"/>
        <w:rPr>
          <w:rFonts w:ascii="Arial" w:hAnsi="Arial" w:cs="Arial"/>
          <w:color w:val="000000"/>
        </w:rPr>
      </w:pPr>
    </w:p>
    <w:p w14:paraId="277FD7DB" w14:textId="71D772ED" w:rsidR="001B5E4C" w:rsidRPr="00B777F8" w:rsidRDefault="51E9A9B4" w:rsidP="00AF0A00">
      <w:pPr>
        <w:spacing w:line="360" w:lineRule="auto"/>
        <w:rPr>
          <w:rFonts w:ascii="Arial" w:eastAsia="Arial" w:hAnsi="Arial" w:cs="Arial"/>
          <w:i/>
          <w:color w:val="000000" w:themeColor="text1"/>
          <w:sz w:val="16"/>
        </w:rPr>
      </w:pPr>
      <w:r w:rsidRPr="51E9A9B4">
        <w:rPr>
          <w:rFonts w:ascii="Arial" w:eastAsia="Arial" w:hAnsi="Arial" w:cs="Arial"/>
          <w:color w:val="000000" w:themeColor="text1"/>
        </w:rPr>
        <w:t xml:space="preserve">Table 1: </w:t>
      </w:r>
      <w:r w:rsidR="00FF0A3F">
        <w:rPr>
          <w:rFonts w:ascii="Arial" w:eastAsia="Arial" w:hAnsi="Arial" w:cs="Arial"/>
          <w:color w:val="000000" w:themeColor="text1"/>
        </w:rPr>
        <w:t xml:space="preserve">Mean </w:t>
      </w:r>
      <w:r w:rsidRPr="51E9A9B4">
        <w:rPr>
          <w:rFonts w:ascii="Arial" w:eastAsia="Arial" w:hAnsi="Arial" w:cs="Arial"/>
          <w:color w:val="000000" w:themeColor="text1"/>
        </w:rPr>
        <w:t>Hourly Pay rate and gender pay gap</w:t>
      </w:r>
      <w:r w:rsidR="00FF0A3F">
        <w:rPr>
          <w:rFonts w:ascii="Arial" w:eastAsia="Arial" w:hAnsi="Arial" w:cs="Arial"/>
          <w:color w:val="000000" w:themeColor="text1"/>
        </w:rPr>
        <w:t xml:space="preserve"> by contract type</w:t>
      </w:r>
    </w:p>
    <w:tbl>
      <w:tblPr>
        <w:tblW w:w="835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889"/>
        <w:gridCol w:w="941"/>
        <w:gridCol w:w="913"/>
        <w:gridCol w:w="993"/>
      </w:tblGrid>
      <w:tr w:rsidR="001039D3" w14:paraId="0F3411BA" w14:textId="77777777" w:rsidTr="642AE082">
        <w:trPr>
          <w:trHeight w:val="315"/>
        </w:trPr>
        <w:tc>
          <w:tcPr>
            <w:tcW w:w="4618" w:type="dxa"/>
            <w:shd w:val="clear" w:color="auto" w:fill="D9E1F2"/>
            <w:noWrap/>
            <w:vAlign w:val="bottom"/>
            <w:hideMark/>
          </w:tcPr>
          <w:p w14:paraId="23949D9F" w14:textId="2C87B95C" w:rsidR="001039D3" w:rsidRDefault="001039D3" w:rsidP="005D1546">
            <w:pPr>
              <w:spacing w:line="360" w:lineRule="auto"/>
              <w:rPr>
                <w:rFonts w:ascii="Calibri" w:hAnsi="Calibri" w:cs="Calibri"/>
                <w:b/>
                <w:bCs/>
                <w:color w:val="000000"/>
              </w:rPr>
            </w:pPr>
            <w:proofErr w:type="spellStart"/>
            <w:r>
              <w:rPr>
                <w:rFonts w:ascii="Calibri" w:hAnsi="Calibri" w:cs="Calibri"/>
                <w:b/>
                <w:bCs/>
                <w:color w:val="000000"/>
              </w:rPr>
              <w:t>Payscale</w:t>
            </w:r>
            <w:proofErr w:type="spellEnd"/>
          </w:p>
        </w:tc>
        <w:tc>
          <w:tcPr>
            <w:tcW w:w="889" w:type="dxa"/>
            <w:shd w:val="clear" w:color="auto" w:fill="D9E1F2"/>
            <w:noWrap/>
            <w:vAlign w:val="bottom"/>
            <w:hideMark/>
          </w:tcPr>
          <w:p w14:paraId="176F9629" w14:textId="77777777" w:rsidR="001039D3" w:rsidRDefault="001039D3" w:rsidP="005D1546">
            <w:pPr>
              <w:spacing w:line="360" w:lineRule="auto"/>
              <w:jc w:val="right"/>
              <w:rPr>
                <w:rFonts w:ascii="Calibri" w:hAnsi="Calibri" w:cs="Calibri"/>
                <w:b/>
                <w:bCs/>
                <w:color w:val="000000"/>
              </w:rPr>
            </w:pPr>
            <w:r>
              <w:rPr>
                <w:rFonts w:ascii="Calibri" w:hAnsi="Calibri" w:cs="Calibri"/>
                <w:b/>
                <w:bCs/>
                <w:color w:val="000000"/>
              </w:rPr>
              <w:t>Male</w:t>
            </w:r>
          </w:p>
        </w:tc>
        <w:tc>
          <w:tcPr>
            <w:tcW w:w="941" w:type="dxa"/>
            <w:shd w:val="clear" w:color="auto" w:fill="D9E1F2"/>
            <w:noWrap/>
            <w:vAlign w:val="bottom"/>
            <w:hideMark/>
          </w:tcPr>
          <w:p w14:paraId="2EE05B9E" w14:textId="77777777" w:rsidR="001039D3" w:rsidRDefault="001039D3" w:rsidP="005D1546">
            <w:pPr>
              <w:spacing w:line="360" w:lineRule="auto"/>
              <w:jc w:val="right"/>
              <w:rPr>
                <w:rFonts w:ascii="Calibri" w:hAnsi="Calibri" w:cs="Calibri"/>
                <w:b/>
                <w:bCs/>
                <w:color w:val="000000"/>
              </w:rPr>
            </w:pPr>
            <w:r>
              <w:rPr>
                <w:rFonts w:ascii="Calibri" w:hAnsi="Calibri" w:cs="Calibri"/>
                <w:b/>
                <w:bCs/>
                <w:color w:val="000000"/>
              </w:rPr>
              <w:t>Female</w:t>
            </w:r>
          </w:p>
        </w:tc>
        <w:tc>
          <w:tcPr>
            <w:tcW w:w="913" w:type="dxa"/>
            <w:shd w:val="clear" w:color="auto" w:fill="D9E1F2"/>
            <w:noWrap/>
            <w:vAlign w:val="bottom"/>
            <w:hideMark/>
          </w:tcPr>
          <w:p w14:paraId="70278321" w14:textId="77777777" w:rsidR="001039D3" w:rsidRDefault="001039D3" w:rsidP="005D1546">
            <w:pPr>
              <w:spacing w:line="360" w:lineRule="auto"/>
              <w:jc w:val="right"/>
              <w:rPr>
                <w:rFonts w:ascii="Calibri" w:hAnsi="Calibri" w:cs="Calibri"/>
                <w:b/>
                <w:bCs/>
                <w:color w:val="000000"/>
              </w:rPr>
            </w:pPr>
            <w:r>
              <w:rPr>
                <w:rFonts w:ascii="Calibri" w:hAnsi="Calibri" w:cs="Calibri"/>
                <w:b/>
                <w:bCs/>
                <w:color w:val="000000"/>
              </w:rPr>
              <w:t>Diff</w:t>
            </w:r>
          </w:p>
        </w:tc>
        <w:tc>
          <w:tcPr>
            <w:tcW w:w="993" w:type="dxa"/>
            <w:shd w:val="clear" w:color="auto" w:fill="D9E1F2"/>
            <w:noWrap/>
            <w:vAlign w:val="bottom"/>
            <w:hideMark/>
          </w:tcPr>
          <w:p w14:paraId="36DE74D0" w14:textId="331A32A6" w:rsidR="001039D3" w:rsidRDefault="001039D3" w:rsidP="005D1546">
            <w:pPr>
              <w:spacing w:line="360" w:lineRule="auto"/>
              <w:jc w:val="right"/>
              <w:rPr>
                <w:rFonts w:ascii="Calibri" w:hAnsi="Calibri" w:cs="Calibri"/>
                <w:b/>
                <w:bCs/>
                <w:color w:val="000000"/>
              </w:rPr>
            </w:pPr>
            <w:r>
              <w:rPr>
                <w:rFonts w:ascii="Calibri" w:hAnsi="Calibri" w:cs="Calibri"/>
                <w:b/>
                <w:bCs/>
                <w:color w:val="000000"/>
              </w:rPr>
              <w:t>% Gap</w:t>
            </w:r>
            <w:r w:rsidR="00E7514D">
              <w:rPr>
                <w:rFonts w:ascii="Calibri" w:hAnsi="Calibri" w:cs="Calibri"/>
                <w:b/>
                <w:bCs/>
                <w:color w:val="000000"/>
              </w:rPr>
              <w:t>*</w:t>
            </w:r>
          </w:p>
        </w:tc>
      </w:tr>
      <w:tr w:rsidR="001039D3" w14:paraId="3274927F" w14:textId="77777777" w:rsidTr="007F0C28">
        <w:trPr>
          <w:trHeight w:val="315"/>
        </w:trPr>
        <w:tc>
          <w:tcPr>
            <w:tcW w:w="4618" w:type="dxa"/>
            <w:shd w:val="clear" w:color="auto" w:fill="auto"/>
            <w:noWrap/>
            <w:vAlign w:val="bottom"/>
            <w:hideMark/>
          </w:tcPr>
          <w:p w14:paraId="5B98CEF5" w14:textId="33C318C0" w:rsidR="001039D3" w:rsidRDefault="001039D3" w:rsidP="005D1546">
            <w:pPr>
              <w:rPr>
                <w:rFonts w:ascii="Calibri" w:hAnsi="Calibri" w:cs="Calibri"/>
                <w:color w:val="000000"/>
              </w:rPr>
            </w:pPr>
            <w:r w:rsidRPr="642AE082">
              <w:rPr>
                <w:rFonts w:ascii="Calibri" w:hAnsi="Calibri" w:cs="Calibri"/>
                <w:color w:val="000000" w:themeColor="text1"/>
              </w:rPr>
              <w:t>Agenda for Change</w:t>
            </w:r>
            <w:r w:rsidR="4DE4DFC0" w:rsidRPr="642AE082">
              <w:rPr>
                <w:rFonts w:ascii="Calibri" w:hAnsi="Calibri" w:cs="Calibri"/>
                <w:color w:val="000000" w:themeColor="text1"/>
              </w:rPr>
              <w:t xml:space="preserve"> (excluding executive managers)</w:t>
            </w:r>
          </w:p>
        </w:tc>
        <w:tc>
          <w:tcPr>
            <w:tcW w:w="889" w:type="dxa"/>
            <w:shd w:val="clear" w:color="auto" w:fill="auto"/>
            <w:noWrap/>
            <w:vAlign w:val="bottom"/>
            <w:hideMark/>
          </w:tcPr>
          <w:p w14:paraId="1048644C" w14:textId="77777777" w:rsidR="001039D3" w:rsidRDefault="001039D3" w:rsidP="005D1546">
            <w:pPr>
              <w:spacing w:line="360" w:lineRule="auto"/>
              <w:jc w:val="right"/>
              <w:rPr>
                <w:rFonts w:ascii="Calibri" w:hAnsi="Calibri" w:cs="Calibri"/>
                <w:color w:val="000000"/>
              </w:rPr>
            </w:pPr>
            <w:r w:rsidRPr="642AE082">
              <w:rPr>
                <w:rFonts w:ascii="Calibri" w:hAnsi="Calibri" w:cs="Calibri"/>
                <w:color w:val="000000" w:themeColor="text1"/>
              </w:rPr>
              <w:t>£21.76</w:t>
            </w:r>
          </w:p>
        </w:tc>
        <w:tc>
          <w:tcPr>
            <w:tcW w:w="941" w:type="dxa"/>
            <w:shd w:val="clear" w:color="auto" w:fill="auto"/>
            <w:noWrap/>
            <w:vAlign w:val="bottom"/>
            <w:hideMark/>
          </w:tcPr>
          <w:p w14:paraId="443C828A" w14:textId="77777777" w:rsidR="001039D3" w:rsidRDefault="001039D3" w:rsidP="005D1546">
            <w:pPr>
              <w:spacing w:line="360" w:lineRule="auto"/>
              <w:jc w:val="right"/>
              <w:rPr>
                <w:rFonts w:ascii="Calibri" w:hAnsi="Calibri" w:cs="Calibri"/>
                <w:color w:val="000000"/>
              </w:rPr>
            </w:pPr>
            <w:r w:rsidRPr="642AE082">
              <w:rPr>
                <w:rFonts w:ascii="Calibri" w:hAnsi="Calibri" w:cs="Calibri"/>
                <w:color w:val="000000" w:themeColor="text1"/>
              </w:rPr>
              <w:t>£19.67</w:t>
            </w:r>
          </w:p>
        </w:tc>
        <w:tc>
          <w:tcPr>
            <w:tcW w:w="913" w:type="dxa"/>
            <w:shd w:val="clear" w:color="auto" w:fill="auto"/>
            <w:noWrap/>
            <w:vAlign w:val="bottom"/>
            <w:hideMark/>
          </w:tcPr>
          <w:p w14:paraId="6068B42F" w14:textId="77777777" w:rsidR="001039D3" w:rsidRDefault="001039D3" w:rsidP="005D1546">
            <w:pPr>
              <w:spacing w:line="360" w:lineRule="auto"/>
              <w:jc w:val="right"/>
              <w:rPr>
                <w:rFonts w:ascii="Calibri" w:hAnsi="Calibri" w:cs="Calibri"/>
                <w:color w:val="000000"/>
              </w:rPr>
            </w:pPr>
            <w:r w:rsidRPr="642AE082">
              <w:rPr>
                <w:rFonts w:ascii="Calibri" w:hAnsi="Calibri" w:cs="Calibri"/>
                <w:color w:val="000000" w:themeColor="text1"/>
              </w:rPr>
              <w:t>£2.09</w:t>
            </w:r>
          </w:p>
        </w:tc>
        <w:tc>
          <w:tcPr>
            <w:tcW w:w="993" w:type="dxa"/>
            <w:shd w:val="clear" w:color="auto" w:fill="auto"/>
            <w:noWrap/>
            <w:vAlign w:val="bottom"/>
            <w:hideMark/>
          </w:tcPr>
          <w:p w14:paraId="2BD556ED" w14:textId="77777777" w:rsidR="001039D3" w:rsidRDefault="001039D3" w:rsidP="005D1546">
            <w:pPr>
              <w:spacing w:line="360" w:lineRule="auto"/>
              <w:jc w:val="right"/>
              <w:rPr>
                <w:rFonts w:ascii="Calibri" w:hAnsi="Calibri" w:cs="Calibri"/>
                <w:color w:val="000000"/>
              </w:rPr>
            </w:pPr>
            <w:r w:rsidRPr="642AE082">
              <w:rPr>
                <w:rFonts w:ascii="Calibri" w:hAnsi="Calibri" w:cs="Calibri"/>
                <w:color w:val="000000" w:themeColor="text1"/>
              </w:rPr>
              <w:t>9.62%</w:t>
            </w:r>
          </w:p>
        </w:tc>
      </w:tr>
      <w:tr w:rsidR="001039D3" w14:paraId="0762AF3A" w14:textId="77777777" w:rsidTr="007F0C28">
        <w:trPr>
          <w:trHeight w:val="315"/>
        </w:trPr>
        <w:tc>
          <w:tcPr>
            <w:tcW w:w="4618" w:type="dxa"/>
            <w:shd w:val="clear" w:color="auto" w:fill="auto"/>
            <w:noWrap/>
            <w:vAlign w:val="bottom"/>
            <w:hideMark/>
          </w:tcPr>
          <w:p w14:paraId="3D24E828" w14:textId="170EECF5" w:rsidR="001039D3" w:rsidRDefault="001039D3" w:rsidP="005D1546">
            <w:pPr>
              <w:spacing w:line="360" w:lineRule="auto"/>
              <w:rPr>
                <w:rFonts w:ascii="Calibri" w:hAnsi="Calibri" w:cs="Calibri"/>
                <w:color w:val="000000"/>
              </w:rPr>
            </w:pPr>
            <w:r w:rsidRPr="642AE082">
              <w:rPr>
                <w:rFonts w:ascii="Calibri" w:hAnsi="Calibri" w:cs="Calibri"/>
                <w:color w:val="000000" w:themeColor="text1"/>
              </w:rPr>
              <w:t>DiTs</w:t>
            </w:r>
            <w:r w:rsidR="005D1546">
              <w:rPr>
                <w:rStyle w:val="FootnoteReference"/>
                <w:rFonts w:ascii="Calibri" w:hAnsi="Calibri" w:cs="Calibri"/>
                <w:color w:val="000000" w:themeColor="text1"/>
              </w:rPr>
              <w:footnoteReference w:id="13"/>
            </w:r>
            <w:r w:rsidRPr="642AE082">
              <w:rPr>
                <w:rFonts w:ascii="Calibri" w:hAnsi="Calibri" w:cs="Calibri"/>
                <w:color w:val="000000" w:themeColor="text1"/>
              </w:rPr>
              <w:t xml:space="preserve"> and Fellows</w:t>
            </w:r>
          </w:p>
        </w:tc>
        <w:tc>
          <w:tcPr>
            <w:tcW w:w="889" w:type="dxa"/>
            <w:shd w:val="clear" w:color="auto" w:fill="auto"/>
            <w:noWrap/>
            <w:vAlign w:val="bottom"/>
            <w:hideMark/>
          </w:tcPr>
          <w:p w14:paraId="4BEB0E16" w14:textId="77777777" w:rsidR="001039D3" w:rsidRDefault="001039D3" w:rsidP="005D1546">
            <w:pPr>
              <w:spacing w:line="360" w:lineRule="auto"/>
              <w:jc w:val="right"/>
              <w:rPr>
                <w:rFonts w:ascii="Calibri" w:hAnsi="Calibri" w:cs="Calibri"/>
                <w:color w:val="000000"/>
              </w:rPr>
            </w:pPr>
            <w:r w:rsidRPr="642AE082">
              <w:rPr>
                <w:rFonts w:ascii="Calibri" w:hAnsi="Calibri" w:cs="Calibri"/>
                <w:color w:val="000000" w:themeColor="text1"/>
              </w:rPr>
              <w:t>£19.79</w:t>
            </w:r>
          </w:p>
        </w:tc>
        <w:tc>
          <w:tcPr>
            <w:tcW w:w="941" w:type="dxa"/>
            <w:shd w:val="clear" w:color="auto" w:fill="auto"/>
            <w:noWrap/>
            <w:vAlign w:val="bottom"/>
            <w:hideMark/>
          </w:tcPr>
          <w:p w14:paraId="13884DBE" w14:textId="77777777" w:rsidR="001039D3" w:rsidRDefault="001039D3" w:rsidP="005D1546">
            <w:pPr>
              <w:spacing w:line="360" w:lineRule="auto"/>
              <w:jc w:val="right"/>
              <w:rPr>
                <w:rFonts w:ascii="Calibri" w:hAnsi="Calibri" w:cs="Calibri"/>
                <w:color w:val="000000"/>
              </w:rPr>
            </w:pPr>
            <w:r w:rsidRPr="642AE082">
              <w:rPr>
                <w:rFonts w:ascii="Calibri" w:hAnsi="Calibri" w:cs="Calibri"/>
                <w:color w:val="000000" w:themeColor="text1"/>
              </w:rPr>
              <w:t>£20.07</w:t>
            </w:r>
          </w:p>
        </w:tc>
        <w:tc>
          <w:tcPr>
            <w:tcW w:w="913" w:type="dxa"/>
            <w:shd w:val="clear" w:color="auto" w:fill="auto"/>
            <w:noWrap/>
            <w:vAlign w:val="bottom"/>
            <w:hideMark/>
          </w:tcPr>
          <w:p w14:paraId="6F1B2D24" w14:textId="77777777" w:rsidR="001039D3" w:rsidRDefault="001039D3" w:rsidP="005D1546">
            <w:pPr>
              <w:spacing w:line="360" w:lineRule="auto"/>
              <w:jc w:val="right"/>
              <w:rPr>
                <w:rFonts w:ascii="Calibri" w:hAnsi="Calibri" w:cs="Calibri"/>
                <w:color w:val="000000"/>
              </w:rPr>
            </w:pPr>
            <w:r w:rsidRPr="642AE082">
              <w:rPr>
                <w:rFonts w:ascii="Calibri" w:hAnsi="Calibri" w:cs="Calibri"/>
                <w:color w:val="000000" w:themeColor="text1"/>
              </w:rPr>
              <w:t>-£0.28</w:t>
            </w:r>
          </w:p>
        </w:tc>
        <w:tc>
          <w:tcPr>
            <w:tcW w:w="993" w:type="dxa"/>
            <w:shd w:val="clear" w:color="auto" w:fill="auto"/>
            <w:noWrap/>
            <w:vAlign w:val="bottom"/>
            <w:hideMark/>
          </w:tcPr>
          <w:p w14:paraId="009FA3FC" w14:textId="77777777" w:rsidR="001039D3" w:rsidRDefault="001039D3" w:rsidP="005D1546">
            <w:pPr>
              <w:spacing w:line="360" w:lineRule="auto"/>
              <w:jc w:val="right"/>
              <w:rPr>
                <w:rFonts w:ascii="Calibri" w:hAnsi="Calibri" w:cs="Calibri"/>
                <w:color w:val="000000"/>
              </w:rPr>
            </w:pPr>
            <w:r w:rsidRPr="642AE082">
              <w:rPr>
                <w:rFonts w:ascii="Calibri" w:hAnsi="Calibri" w:cs="Calibri"/>
                <w:color w:val="000000" w:themeColor="text1"/>
              </w:rPr>
              <w:t>-1.39%</w:t>
            </w:r>
          </w:p>
        </w:tc>
      </w:tr>
      <w:tr w:rsidR="001039D3" w14:paraId="32A89037" w14:textId="77777777" w:rsidTr="007F0C28">
        <w:trPr>
          <w:trHeight w:val="315"/>
        </w:trPr>
        <w:tc>
          <w:tcPr>
            <w:tcW w:w="4618" w:type="dxa"/>
            <w:shd w:val="clear" w:color="auto" w:fill="auto"/>
            <w:noWrap/>
            <w:vAlign w:val="bottom"/>
            <w:hideMark/>
          </w:tcPr>
          <w:p w14:paraId="6FE8EBC8" w14:textId="77777777" w:rsidR="001039D3" w:rsidRDefault="001039D3" w:rsidP="005D1546">
            <w:pPr>
              <w:spacing w:line="360" w:lineRule="auto"/>
              <w:rPr>
                <w:rFonts w:ascii="Calibri" w:hAnsi="Calibri" w:cs="Calibri"/>
                <w:color w:val="000000"/>
              </w:rPr>
            </w:pPr>
            <w:r w:rsidRPr="642AE082">
              <w:rPr>
                <w:rFonts w:ascii="Calibri" w:hAnsi="Calibri" w:cs="Calibri"/>
                <w:color w:val="000000" w:themeColor="text1"/>
              </w:rPr>
              <w:t>Executive Managers Cohort / Band 9</w:t>
            </w:r>
          </w:p>
        </w:tc>
        <w:tc>
          <w:tcPr>
            <w:tcW w:w="889" w:type="dxa"/>
            <w:shd w:val="clear" w:color="auto" w:fill="auto"/>
            <w:noWrap/>
            <w:vAlign w:val="bottom"/>
            <w:hideMark/>
          </w:tcPr>
          <w:p w14:paraId="55AA4756" w14:textId="77777777" w:rsidR="001039D3" w:rsidRDefault="001039D3" w:rsidP="005D1546">
            <w:pPr>
              <w:spacing w:line="360" w:lineRule="auto"/>
              <w:jc w:val="right"/>
              <w:rPr>
                <w:rFonts w:ascii="Calibri" w:hAnsi="Calibri" w:cs="Calibri"/>
                <w:color w:val="000000"/>
              </w:rPr>
            </w:pPr>
            <w:r w:rsidRPr="642AE082">
              <w:rPr>
                <w:rFonts w:ascii="Calibri" w:hAnsi="Calibri" w:cs="Calibri"/>
                <w:color w:val="000000" w:themeColor="text1"/>
              </w:rPr>
              <w:t>£53.63</w:t>
            </w:r>
          </w:p>
        </w:tc>
        <w:tc>
          <w:tcPr>
            <w:tcW w:w="941" w:type="dxa"/>
            <w:shd w:val="clear" w:color="auto" w:fill="auto"/>
            <w:noWrap/>
            <w:vAlign w:val="bottom"/>
            <w:hideMark/>
          </w:tcPr>
          <w:p w14:paraId="007F913A" w14:textId="77777777" w:rsidR="001039D3" w:rsidRDefault="001039D3" w:rsidP="005D1546">
            <w:pPr>
              <w:spacing w:line="360" w:lineRule="auto"/>
              <w:jc w:val="right"/>
              <w:rPr>
                <w:rFonts w:ascii="Calibri" w:hAnsi="Calibri" w:cs="Calibri"/>
                <w:color w:val="000000"/>
              </w:rPr>
            </w:pPr>
            <w:r w:rsidRPr="642AE082">
              <w:rPr>
                <w:rFonts w:ascii="Calibri" w:hAnsi="Calibri" w:cs="Calibri"/>
                <w:color w:val="000000" w:themeColor="text1"/>
              </w:rPr>
              <w:t>£53.24</w:t>
            </w:r>
          </w:p>
        </w:tc>
        <w:tc>
          <w:tcPr>
            <w:tcW w:w="913" w:type="dxa"/>
            <w:shd w:val="clear" w:color="auto" w:fill="auto"/>
            <w:noWrap/>
            <w:vAlign w:val="bottom"/>
            <w:hideMark/>
          </w:tcPr>
          <w:p w14:paraId="38F30F86" w14:textId="77777777" w:rsidR="001039D3" w:rsidRDefault="001039D3" w:rsidP="005D1546">
            <w:pPr>
              <w:spacing w:line="360" w:lineRule="auto"/>
              <w:jc w:val="right"/>
              <w:rPr>
                <w:rFonts w:ascii="Calibri" w:hAnsi="Calibri" w:cs="Calibri"/>
                <w:color w:val="000000"/>
              </w:rPr>
            </w:pPr>
            <w:r w:rsidRPr="642AE082">
              <w:rPr>
                <w:rFonts w:ascii="Calibri" w:hAnsi="Calibri" w:cs="Calibri"/>
                <w:color w:val="000000" w:themeColor="text1"/>
              </w:rPr>
              <w:t>£0.39</w:t>
            </w:r>
          </w:p>
        </w:tc>
        <w:tc>
          <w:tcPr>
            <w:tcW w:w="993" w:type="dxa"/>
            <w:shd w:val="clear" w:color="auto" w:fill="auto"/>
            <w:noWrap/>
            <w:vAlign w:val="bottom"/>
            <w:hideMark/>
          </w:tcPr>
          <w:p w14:paraId="5FA75D06" w14:textId="77777777" w:rsidR="001039D3" w:rsidRDefault="001039D3" w:rsidP="005D1546">
            <w:pPr>
              <w:spacing w:line="360" w:lineRule="auto"/>
              <w:jc w:val="right"/>
              <w:rPr>
                <w:rFonts w:ascii="Calibri" w:hAnsi="Calibri" w:cs="Calibri"/>
                <w:color w:val="000000"/>
              </w:rPr>
            </w:pPr>
            <w:r w:rsidRPr="642AE082">
              <w:rPr>
                <w:rFonts w:ascii="Calibri" w:hAnsi="Calibri" w:cs="Calibri"/>
                <w:color w:val="000000" w:themeColor="text1"/>
              </w:rPr>
              <w:t>0.72%</w:t>
            </w:r>
          </w:p>
        </w:tc>
      </w:tr>
      <w:tr w:rsidR="001039D3" w14:paraId="60FD888F" w14:textId="77777777" w:rsidTr="007F0C28">
        <w:trPr>
          <w:trHeight w:val="315"/>
        </w:trPr>
        <w:tc>
          <w:tcPr>
            <w:tcW w:w="4618" w:type="dxa"/>
            <w:shd w:val="clear" w:color="auto" w:fill="auto"/>
            <w:noWrap/>
            <w:vAlign w:val="bottom"/>
            <w:hideMark/>
          </w:tcPr>
          <w:p w14:paraId="07B14A14" w14:textId="6040C6C3" w:rsidR="001039D3" w:rsidRDefault="001039D3" w:rsidP="005D1546">
            <w:pPr>
              <w:spacing w:line="360" w:lineRule="auto"/>
              <w:rPr>
                <w:rFonts w:ascii="Calibri" w:hAnsi="Calibri" w:cs="Calibri"/>
                <w:color w:val="000000"/>
              </w:rPr>
            </w:pPr>
            <w:r w:rsidRPr="642AE082">
              <w:rPr>
                <w:rFonts w:ascii="Calibri" w:hAnsi="Calibri" w:cs="Calibri"/>
                <w:color w:val="000000" w:themeColor="text1"/>
              </w:rPr>
              <w:t>GP/GDP Ed</w:t>
            </w:r>
            <w:r w:rsidR="005D1546">
              <w:rPr>
                <w:rFonts w:ascii="Calibri" w:hAnsi="Calibri" w:cs="Calibri"/>
                <w:color w:val="000000" w:themeColor="text1"/>
              </w:rPr>
              <w:t>ucator</w:t>
            </w:r>
            <w:r w:rsidRPr="642AE082">
              <w:rPr>
                <w:rFonts w:ascii="Calibri" w:hAnsi="Calibri" w:cs="Calibri"/>
                <w:color w:val="000000" w:themeColor="text1"/>
              </w:rPr>
              <w:t>s, CRUMP and Consultants</w:t>
            </w:r>
          </w:p>
        </w:tc>
        <w:tc>
          <w:tcPr>
            <w:tcW w:w="889" w:type="dxa"/>
            <w:shd w:val="clear" w:color="auto" w:fill="auto"/>
            <w:noWrap/>
            <w:vAlign w:val="bottom"/>
            <w:hideMark/>
          </w:tcPr>
          <w:p w14:paraId="3773884E" w14:textId="77777777" w:rsidR="001039D3" w:rsidRDefault="001039D3" w:rsidP="005D1546">
            <w:pPr>
              <w:spacing w:line="360" w:lineRule="auto"/>
              <w:jc w:val="right"/>
              <w:rPr>
                <w:rFonts w:ascii="Calibri" w:hAnsi="Calibri" w:cs="Calibri"/>
                <w:color w:val="000000"/>
              </w:rPr>
            </w:pPr>
            <w:r w:rsidRPr="642AE082">
              <w:rPr>
                <w:rFonts w:ascii="Calibri" w:hAnsi="Calibri" w:cs="Calibri"/>
                <w:color w:val="000000" w:themeColor="text1"/>
              </w:rPr>
              <w:t>£46.94</w:t>
            </w:r>
          </w:p>
        </w:tc>
        <w:tc>
          <w:tcPr>
            <w:tcW w:w="941" w:type="dxa"/>
            <w:shd w:val="clear" w:color="auto" w:fill="auto"/>
            <w:noWrap/>
            <w:vAlign w:val="bottom"/>
            <w:hideMark/>
          </w:tcPr>
          <w:p w14:paraId="6640E429" w14:textId="77777777" w:rsidR="001039D3" w:rsidRDefault="001039D3" w:rsidP="005D1546">
            <w:pPr>
              <w:spacing w:line="360" w:lineRule="auto"/>
              <w:jc w:val="right"/>
              <w:rPr>
                <w:rFonts w:ascii="Calibri" w:hAnsi="Calibri" w:cs="Calibri"/>
                <w:color w:val="000000"/>
              </w:rPr>
            </w:pPr>
            <w:r w:rsidRPr="642AE082">
              <w:rPr>
                <w:rFonts w:ascii="Calibri" w:hAnsi="Calibri" w:cs="Calibri"/>
                <w:color w:val="000000" w:themeColor="text1"/>
              </w:rPr>
              <w:t>£44.72</w:t>
            </w:r>
          </w:p>
        </w:tc>
        <w:tc>
          <w:tcPr>
            <w:tcW w:w="913" w:type="dxa"/>
            <w:shd w:val="clear" w:color="auto" w:fill="auto"/>
            <w:noWrap/>
            <w:vAlign w:val="bottom"/>
            <w:hideMark/>
          </w:tcPr>
          <w:p w14:paraId="627DF234" w14:textId="77777777" w:rsidR="001039D3" w:rsidRDefault="001039D3" w:rsidP="005D1546">
            <w:pPr>
              <w:spacing w:line="360" w:lineRule="auto"/>
              <w:jc w:val="right"/>
              <w:rPr>
                <w:rFonts w:ascii="Calibri" w:hAnsi="Calibri" w:cs="Calibri"/>
                <w:color w:val="000000"/>
              </w:rPr>
            </w:pPr>
            <w:r w:rsidRPr="642AE082">
              <w:rPr>
                <w:rFonts w:ascii="Calibri" w:hAnsi="Calibri" w:cs="Calibri"/>
                <w:color w:val="000000" w:themeColor="text1"/>
              </w:rPr>
              <w:t>£2.22</w:t>
            </w:r>
          </w:p>
        </w:tc>
        <w:tc>
          <w:tcPr>
            <w:tcW w:w="993" w:type="dxa"/>
            <w:shd w:val="clear" w:color="auto" w:fill="auto"/>
            <w:noWrap/>
            <w:vAlign w:val="bottom"/>
            <w:hideMark/>
          </w:tcPr>
          <w:p w14:paraId="14C191A8" w14:textId="77777777" w:rsidR="001039D3" w:rsidRDefault="001039D3" w:rsidP="005D1546">
            <w:pPr>
              <w:spacing w:line="360" w:lineRule="auto"/>
              <w:jc w:val="right"/>
              <w:rPr>
                <w:rFonts w:ascii="Calibri" w:hAnsi="Calibri" w:cs="Calibri"/>
                <w:color w:val="000000"/>
              </w:rPr>
            </w:pPr>
            <w:r w:rsidRPr="642AE082">
              <w:rPr>
                <w:rFonts w:ascii="Calibri" w:hAnsi="Calibri" w:cs="Calibri"/>
                <w:color w:val="000000" w:themeColor="text1"/>
              </w:rPr>
              <w:t>4.73%</w:t>
            </w:r>
          </w:p>
        </w:tc>
      </w:tr>
      <w:tr w:rsidR="007F0C28" w14:paraId="0C0C3FF4" w14:textId="77777777" w:rsidTr="642AE082">
        <w:trPr>
          <w:trHeight w:val="330"/>
        </w:trPr>
        <w:tc>
          <w:tcPr>
            <w:tcW w:w="4618" w:type="dxa"/>
            <w:shd w:val="clear" w:color="auto" w:fill="D9E1F2"/>
            <w:noWrap/>
            <w:vAlign w:val="bottom"/>
            <w:hideMark/>
          </w:tcPr>
          <w:p w14:paraId="796CCE6E" w14:textId="77777777" w:rsidR="001039D3" w:rsidRPr="00836E26" w:rsidRDefault="001039D3" w:rsidP="005D1546">
            <w:pPr>
              <w:spacing w:line="360" w:lineRule="auto"/>
              <w:rPr>
                <w:rFonts w:ascii="Calibri" w:hAnsi="Calibri" w:cs="Calibri"/>
                <w:b/>
                <w:bCs/>
                <w:color w:val="000000"/>
              </w:rPr>
            </w:pPr>
            <w:r w:rsidRPr="642AE082">
              <w:rPr>
                <w:rFonts w:ascii="Calibri" w:hAnsi="Calibri" w:cs="Calibri"/>
                <w:b/>
                <w:bCs/>
                <w:color w:val="000000" w:themeColor="text1"/>
              </w:rPr>
              <w:t>Grand Total</w:t>
            </w:r>
          </w:p>
        </w:tc>
        <w:tc>
          <w:tcPr>
            <w:tcW w:w="889" w:type="dxa"/>
            <w:shd w:val="clear" w:color="auto" w:fill="D9E1F2"/>
            <w:noWrap/>
            <w:vAlign w:val="bottom"/>
            <w:hideMark/>
          </w:tcPr>
          <w:p w14:paraId="5E385529" w14:textId="77777777" w:rsidR="001039D3" w:rsidRPr="00836E26" w:rsidRDefault="001039D3" w:rsidP="005D1546">
            <w:pPr>
              <w:spacing w:line="360" w:lineRule="auto"/>
              <w:jc w:val="right"/>
              <w:rPr>
                <w:rFonts w:ascii="Calibri" w:hAnsi="Calibri" w:cs="Calibri"/>
                <w:b/>
                <w:bCs/>
                <w:color w:val="000000"/>
              </w:rPr>
            </w:pPr>
            <w:r w:rsidRPr="642AE082">
              <w:rPr>
                <w:rFonts w:ascii="Calibri" w:hAnsi="Calibri" w:cs="Calibri"/>
                <w:b/>
                <w:bCs/>
                <w:color w:val="000000" w:themeColor="text1"/>
              </w:rPr>
              <w:t>£22.38</w:t>
            </w:r>
          </w:p>
        </w:tc>
        <w:tc>
          <w:tcPr>
            <w:tcW w:w="941" w:type="dxa"/>
            <w:shd w:val="clear" w:color="auto" w:fill="D9E1F2"/>
            <w:noWrap/>
            <w:vAlign w:val="bottom"/>
            <w:hideMark/>
          </w:tcPr>
          <w:p w14:paraId="3227E1D5" w14:textId="77777777" w:rsidR="001039D3" w:rsidRPr="00836E26" w:rsidRDefault="001039D3" w:rsidP="005D1546">
            <w:pPr>
              <w:spacing w:line="360" w:lineRule="auto"/>
              <w:jc w:val="right"/>
              <w:rPr>
                <w:rFonts w:ascii="Calibri" w:hAnsi="Calibri" w:cs="Calibri"/>
                <w:b/>
                <w:bCs/>
                <w:color w:val="000000"/>
              </w:rPr>
            </w:pPr>
            <w:r w:rsidRPr="642AE082">
              <w:rPr>
                <w:rFonts w:ascii="Calibri" w:hAnsi="Calibri" w:cs="Calibri"/>
                <w:b/>
                <w:bCs/>
                <w:color w:val="000000" w:themeColor="text1"/>
              </w:rPr>
              <w:t>£20.75</w:t>
            </w:r>
          </w:p>
        </w:tc>
        <w:tc>
          <w:tcPr>
            <w:tcW w:w="913" w:type="dxa"/>
            <w:shd w:val="clear" w:color="auto" w:fill="D9E1F2"/>
            <w:noWrap/>
            <w:vAlign w:val="bottom"/>
            <w:hideMark/>
          </w:tcPr>
          <w:p w14:paraId="3F0F7D59" w14:textId="77777777" w:rsidR="001039D3" w:rsidRPr="00836E26" w:rsidRDefault="001039D3" w:rsidP="005D1546">
            <w:pPr>
              <w:spacing w:line="360" w:lineRule="auto"/>
              <w:jc w:val="right"/>
              <w:rPr>
                <w:rFonts w:ascii="Calibri" w:hAnsi="Calibri" w:cs="Calibri"/>
                <w:b/>
                <w:bCs/>
                <w:color w:val="000000"/>
              </w:rPr>
            </w:pPr>
            <w:r w:rsidRPr="642AE082">
              <w:rPr>
                <w:rFonts w:ascii="Calibri" w:hAnsi="Calibri" w:cs="Calibri"/>
                <w:b/>
                <w:bCs/>
                <w:color w:val="000000" w:themeColor="text1"/>
              </w:rPr>
              <w:t>£1.63</w:t>
            </w:r>
          </w:p>
        </w:tc>
        <w:tc>
          <w:tcPr>
            <w:tcW w:w="993" w:type="dxa"/>
            <w:shd w:val="clear" w:color="auto" w:fill="D9E1F2"/>
            <w:noWrap/>
            <w:vAlign w:val="bottom"/>
            <w:hideMark/>
          </w:tcPr>
          <w:p w14:paraId="5048986C" w14:textId="77777777" w:rsidR="001039D3" w:rsidRPr="00836E26" w:rsidRDefault="001039D3" w:rsidP="005D1546">
            <w:pPr>
              <w:spacing w:line="360" w:lineRule="auto"/>
              <w:jc w:val="right"/>
              <w:rPr>
                <w:rFonts w:ascii="Calibri" w:hAnsi="Calibri" w:cs="Calibri"/>
                <w:b/>
                <w:bCs/>
                <w:color w:val="000000"/>
              </w:rPr>
            </w:pPr>
            <w:r w:rsidRPr="642AE082">
              <w:rPr>
                <w:rFonts w:ascii="Calibri" w:hAnsi="Calibri" w:cs="Calibri"/>
                <w:b/>
                <w:bCs/>
                <w:color w:val="000000" w:themeColor="text1"/>
              </w:rPr>
              <w:t>7.28%</w:t>
            </w:r>
          </w:p>
        </w:tc>
      </w:tr>
    </w:tbl>
    <w:p w14:paraId="277FD7DC" w14:textId="6A2E2C7A" w:rsidR="00545C14" w:rsidRDefault="00E7514D" w:rsidP="00AF0A00">
      <w:pPr>
        <w:spacing w:line="360" w:lineRule="auto"/>
        <w:rPr>
          <w:rFonts w:ascii="Arial" w:hAnsi="Arial" w:cs="Arial"/>
          <w:color w:val="000000"/>
        </w:rPr>
      </w:pPr>
      <w:r>
        <w:rPr>
          <w:rFonts w:ascii="Arial" w:eastAsia="Arial" w:hAnsi="Arial" w:cs="Arial"/>
          <w:i/>
          <w:color w:val="000000" w:themeColor="text1"/>
          <w:sz w:val="16"/>
        </w:rPr>
        <w:t>*Differences have not been subjected to tests for statistical significance.</w:t>
      </w:r>
    </w:p>
    <w:p w14:paraId="75BD5346" w14:textId="77777777" w:rsidR="001039D3" w:rsidRPr="008C48EC" w:rsidRDefault="001039D3" w:rsidP="00AF0A00">
      <w:pPr>
        <w:spacing w:line="360" w:lineRule="auto"/>
        <w:rPr>
          <w:rFonts w:ascii="Arial" w:hAnsi="Arial" w:cs="Arial"/>
          <w:color w:val="000000"/>
        </w:rPr>
      </w:pPr>
    </w:p>
    <w:p w14:paraId="277FD7DD" w14:textId="77777777" w:rsidR="007844AD" w:rsidRDefault="007844AD" w:rsidP="00AF0A00">
      <w:pPr>
        <w:spacing w:line="360" w:lineRule="auto"/>
        <w:rPr>
          <w:rFonts w:ascii="Arial" w:eastAsia="Arial" w:hAnsi="Arial" w:cs="Arial"/>
          <w:color w:val="000000" w:themeColor="text1"/>
        </w:rPr>
      </w:pPr>
      <w:r>
        <w:rPr>
          <w:rFonts w:ascii="Arial" w:eastAsia="Arial" w:hAnsi="Arial" w:cs="Arial"/>
          <w:color w:val="000000" w:themeColor="text1"/>
        </w:rPr>
        <w:t xml:space="preserve">Table 2 provides a more detailed analysis of pay within the most numerous </w:t>
      </w:r>
      <w:proofErr w:type="gramStart"/>
      <w:r>
        <w:rPr>
          <w:rFonts w:ascii="Arial" w:eastAsia="Arial" w:hAnsi="Arial" w:cs="Arial"/>
          <w:color w:val="000000" w:themeColor="text1"/>
        </w:rPr>
        <w:t>group</w:t>
      </w:r>
      <w:proofErr w:type="gramEnd"/>
      <w:r>
        <w:rPr>
          <w:rFonts w:ascii="Arial" w:eastAsia="Arial" w:hAnsi="Arial" w:cs="Arial"/>
          <w:color w:val="000000" w:themeColor="text1"/>
        </w:rPr>
        <w:t>, those employed under Agenda for Change terms and conditions. This table compares the average hourly pay rate by gender at each pay band to determine whether there are differences within the individual pay bands.</w:t>
      </w:r>
    </w:p>
    <w:p w14:paraId="277FD7DE" w14:textId="77777777" w:rsidR="007844AD" w:rsidRDefault="007844AD" w:rsidP="00AF0A00">
      <w:pPr>
        <w:spacing w:line="360" w:lineRule="auto"/>
        <w:rPr>
          <w:rFonts w:ascii="Arial" w:eastAsia="Arial" w:hAnsi="Arial" w:cs="Arial"/>
          <w:color w:val="000000" w:themeColor="text1"/>
        </w:rPr>
      </w:pPr>
      <w:r>
        <w:rPr>
          <w:rFonts w:ascii="Arial" w:eastAsia="Arial" w:hAnsi="Arial" w:cs="Arial"/>
          <w:color w:val="000000" w:themeColor="text1"/>
        </w:rPr>
        <w:br w:type="page"/>
      </w:r>
    </w:p>
    <w:p w14:paraId="277FD7DF" w14:textId="77777777" w:rsidR="007844AD" w:rsidRDefault="007844AD" w:rsidP="00AF0A00">
      <w:pPr>
        <w:spacing w:line="360" w:lineRule="auto"/>
        <w:rPr>
          <w:rFonts w:ascii="Arial" w:eastAsia="Arial" w:hAnsi="Arial" w:cs="Arial"/>
          <w:color w:val="000000" w:themeColor="text1"/>
        </w:rPr>
      </w:pPr>
    </w:p>
    <w:p w14:paraId="799CF316" w14:textId="77777777" w:rsidR="005D1546" w:rsidRDefault="003F55FE" w:rsidP="009C77C0">
      <w:pPr>
        <w:spacing w:line="360" w:lineRule="auto"/>
        <w:rPr>
          <w:rFonts w:ascii="Arial" w:eastAsia="Arial" w:hAnsi="Arial" w:cs="Arial"/>
          <w:color w:val="000000" w:themeColor="text1"/>
        </w:rPr>
      </w:pPr>
      <w:r>
        <w:rPr>
          <w:rFonts w:ascii="Arial" w:eastAsia="Arial" w:hAnsi="Arial" w:cs="Arial"/>
          <w:color w:val="000000" w:themeColor="text1"/>
        </w:rPr>
        <w:t>Table 2</w:t>
      </w:r>
      <w:r w:rsidR="00FF0A3F">
        <w:rPr>
          <w:rFonts w:ascii="Arial" w:eastAsia="Arial" w:hAnsi="Arial" w:cs="Arial"/>
          <w:color w:val="000000" w:themeColor="text1"/>
        </w:rPr>
        <w:t xml:space="preserve">: </w:t>
      </w:r>
    </w:p>
    <w:p w14:paraId="2FFD241B" w14:textId="51F65AD8" w:rsidR="00F74773" w:rsidRDefault="00FF0A3F" w:rsidP="009C77C0">
      <w:pPr>
        <w:spacing w:line="360" w:lineRule="auto"/>
        <w:rPr>
          <w:rFonts w:ascii="Arial" w:eastAsia="Arial" w:hAnsi="Arial" w:cs="Arial"/>
          <w:color w:val="000000" w:themeColor="text1"/>
        </w:rPr>
      </w:pPr>
      <w:r>
        <w:rPr>
          <w:rFonts w:ascii="Arial" w:eastAsia="Arial" w:hAnsi="Arial" w:cs="Arial"/>
          <w:color w:val="000000" w:themeColor="text1"/>
        </w:rPr>
        <w:t>Mean Hourly Pay rate and gender pay gap by Agenda for Change pay band</w:t>
      </w:r>
      <w:r w:rsidR="00995A1F">
        <w:rPr>
          <w:rFonts w:ascii="Arial" w:eastAsia="Arial" w:hAnsi="Arial" w:cs="Arial"/>
          <w:color w:val="000000" w:themeColor="text1"/>
        </w:rPr>
        <w:t xml:space="preserve"> Executive cohort</w:t>
      </w:r>
    </w:p>
    <w:tbl>
      <w:tblPr>
        <w:tblStyle w:val="TableGrid"/>
        <w:tblW w:w="9464" w:type="dxa"/>
        <w:tblLook w:val="04A0" w:firstRow="1" w:lastRow="0" w:firstColumn="1" w:lastColumn="0" w:noHBand="0" w:noVBand="1"/>
      </w:tblPr>
      <w:tblGrid>
        <w:gridCol w:w="4535"/>
        <w:gridCol w:w="951"/>
        <w:gridCol w:w="1044"/>
        <w:gridCol w:w="1091"/>
        <w:gridCol w:w="1843"/>
      </w:tblGrid>
      <w:tr w:rsidR="00995A1F" w:rsidRPr="000F4D32" w14:paraId="6DF84500" w14:textId="77777777" w:rsidTr="00AA64D4">
        <w:trPr>
          <w:trHeight w:val="739"/>
        </w:trPr>
        <w:tc>
          <w:tcPr>
            <w:tcW w:w="4535" w:type="dxa"/>
            <w:shd w:val="clear" w:color="auto" w:fill="D5DCE4" w:themeFill="text2" w:themeFillTint="33"/>
            <w:noWrap/>
            <w:hideMark/>
          </w:tcPr>
          <w:p w14:paraId="508DCA55" w14:textId="77777777" w:rsidR="00995A1F" w:rsidRPr="000F4D32" w:rsidRDefault="00995A1F" w:rsidP="000F4D32">
            <w:pPr>
              <w:spacing w:line="360" w:lineRule="auto"/>
              <w:rPr>
                <w:rFonts w:ascii="Arial" w:eastAsia="Arial" w:hAnsi="Arial" w:cs="Arial"/>
                <w:b/>
                <w:bCs/>
                <w:color w:val="000000" w:themeColor="text1"/>
              </w:rPr>
            </w:pPr>
            <w:r w:rsidRPr="000F4D32">
              <w:rPr>
                <w:rFonts w:ascii="Arial" w:eastAsia="Arial" w:hAnsi="Arial" w:cs="Arial"/>
                <w:b/>
                <w:bCs/>
                <w:color w:val="000000" w:themeColor="text1"/>
              </w:rPr>
              <w:t>Grade</w:t>
            </w:r>
          </w:p>
        </w:tc>
        <w:tc>
          <w:tcPr>
            <w:tcW w:w="951" w:type="dxa"/>
            <w:shd w:val="clear" w:color="auto" w:fill="D5DCE4" w:themeFill="text2" w:themeFillTint="33"/>
            <w:noWrap/>
            <w:hideMark/>
          </w:tcPr>
          <w:p w14:paraId="6A98041B" w14:textId="77777777" w:rsidR="00995A1F" w:rsidRPr="000F4D32" w:rsidRDefault="00995A1F" w:rsidP="00381A9B">
            <w:pPr>
              <w:spacing w:line="360" w:lineRule="auto"/>
              <w:jc w:val="center"/>
              <w:rPr>
                <w:rFonts w:ascii="Arial" w:eastAsia="Arial" w:hAnsi="Arial" w:cs="Arial"/>
                <w:b/>
                <w:bCs/>
                <w:color w:val="000000" w:themeColor="text1"/>
              </w:rPr>
            </w:pPr>
            <w:r w:rsidRPr="000F4D32">
              <w:rPr>
                <w:rFonts w:ascii="Arial" w:eastAsia="Arial" w:hAnsi="Arial" w:cs="Arial"/>
                <w:b/>
                <w:bCs/>
                <w:color w:val="000000" w:themeColor="text1"/>
              </w:rPr>
              <w:t>Male</w:t>
            </w:r>
          </w:p>
        </w:tc>
        <w:tc>
          <w:tcPr>
            <w:tcW w:w="1044" w:type="dxa"/>
            <w:shd w:val="clear" w:color="auto" w:fill="D5DCE4" w:themeFill="text2" w:themeFillTint="33"/>
            <w:noWrap/>
            <w:hideMark/>
          </w:tcPr>
          <w:p w14:paraId="64E268DB" w14:textId="77777777" w:rsidR="00995A1F" w:rsidRPr="000F4D32" w:rsidRDefault="00995A1F" w:rsidP="00381A9B">
            <w:pPr>
              <w:spacing w:line="360" w:lineRule="auto"/>
              <w:jc w:val="center"/>
              <w:rPr>
                <w:rFonts w:ascii="Arial" w:eastAsia="Arial" w:hAnsi="Arial" w:cs="Arial"/>
                <w:b/>
                <w:bCs/>
                <w:color w:val="000000" w:themeColor="text1"/>
              </w:rPr>
            </w:pPr>
            <w:r w:rsidRPr="000F4D32">
              <w:rPr>
                <w:rFonts w:ascii="Arial" w:eastAsia="Arial" w:hAnsi="Arial" w:cs="Arial"/>
                <w:b/>
                <w:bCs/>
                <w:color w:val="000000" w:themeColor="text1"/>
              </w:rPr>
              <w:t>Female</w:t>
            </w:r>
          </w:p>
        </w:tc>
        <w:tc>
          <w:tcPr>
            <w:tcW w:w="1091" w:type="dxa"/>
            <w:shd w:val="clear" w:color="auto" w:fill="D5DCE4" w:themeFill="text2" w:themeFillTint="33"/>
            <w:noWrap/>
            <w:hideMark/>
          </w:tcPr>
          <w:p w14:paraId="5CDD8CB9" w14:textId="77777777" w:rsidR="00995A1F" w:rsidRPr="000F4D32" w:rsidRDefault="00995A1F" w:rsidP="00381A9B">
            <w:pPr>
              <w:spacing w:line="360" w:lineRule="auto"/>
              <w:jc w:val="center"/>
              <w:rPr>
                <w:rFonts w:ascii="Arial" w:eastAsia="Arial" w:hAnsi="Arial" w:cs="Arial"/>
                <w:b/>
                <w:bCs/>
                <w:color w:val="000000" w:themeColor="text1"/>
              </w:rPr>
            </w:pPr>
            <w:r w:rsidRPr="000F4D32">
              <w:rPr>
                <w:rFonts w:ascii="Arial" w:eastAsia="Arial" w:hAnsi="Arial" w:cs="Arial"/>
                <w:b/>
                <w:bCs/>
                <w:color w:val="000000" w:themeColor="text1"/>
              </w:rPr>
              <w:t>Diff</w:t>
            </w:r>
          </w:p>
        </w:tc>
        <w:tc>
          <w:tcPr>
            <w:tcW w:w="1843" w:type="dxa"/>
            <w:shd w:val="clear" w:color="auto" w:fill="D5DCE4" w:themeFill="text2" w:themeFillTint="33"/>
            <w:noWrap/>
            <w:hideMark/>
          </w:tcPr>
          <w:p w14:paraId="3A6C7604" w14:textId="77777777" w:rsidR="00995A1F" w:rsidRPr="000F4D32" w:rsidRDefault="00995A1F" w:rsidP="00381A9B">
            <w:pPr>
              <w:spacing w:line="360" w:lineRule="auto"/>
              <w:jc w:val="center"/>
              <w:rPr>
                <w:rFonts w:ascii="Arial" w:eastAsia="Arial" w:hAnsi="Arial" w:cs="Arial"/>
                <w:b/>
                <w:bCs/>
                <w:color w:val="000000" w:themeColor="text1"/>
              </w:rPr>
            </w:pPr>
            <w:r w:rsidRPr="000F4D32">
              <w:rPr>
                <w:rFonts w:ascii="Arial" w:eastAsia="Arial" w:hAnsi="Arial" w:cs="Arial"/>
                <w:b/>
                <w:bCs/>
                <w:color w:val="000000" w:themeColor="text1"/>
              </w:rPr>
              <w:t>% Gap</w:t>
            </w:r>
          </w:p>
        </w:tc>
      </w:tr>
      <w:tr w:rsidR="000F4D32" w:rsidRPr="000F4D32" w14:paraId="266E1B11" w14:textId="77777777" w:rsidTr="007F0C28">
        <w:trPr>
          <w:trHeight w:val="315"/>
        </w:trPr>
        <w:tc>
          <w:tcPr>
            <w:tcW w:w="4535" w:type="dxa"/>
            <w:noWrap/>
            <w:hideMark/>
          </w:tcPr>
          <w:p w14:paraId="2A3F5C77" w14:textId="77777777" w:rsidR="000F4D32" w:rsidRPr="000F4D32" w:rsidRDefault="000F4D32" w:rsidP="000F4D32">
            <w:pPr>
              <w:spacing w:line="360" w:lineRule="auto"/>
              <w:rPr>
                <w:rFonts w:ascii="Arial" w:eastAsia="Arial" w:hAnsi="Arial" w:cs="Arial"/>
                <w:color w:val="000000" w:themeColor="text1"/>
              </w:rPr>
            </w:pPr>
            <w:r w:rsidRPr="000F4D32">
              <w:rPr>
                <w:rFonts w:ascii="Arial" w:eastAsia="Arial" w:hAnsi="Arial" w:cs="Arial"/>
                <w:color w:val="000000" w:themeColor="text1"/>
              </w:rPr>
              <w:t>Band 2.</w:t>
            </w:r>
          </w:p>
        </w:tc>
        <w:tc>
          <w:tcPr>
            <w:tcW w:w="951" w:type="dxa"/>
            <w:noWrap/>
            <w:hideMark/>
          </w:tcPr>
          <w:p w14:paraId="5BCB04AA"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£9.51</w:t>
            </w:r>
          </w:p>
        </w:tc>
        <w:tc>
          <w:tcPr>
            <w:tcW w:w="1044" w:type="dxa"/>
            <w:noWrap/>
            <w:hideMark/>
          </w:tcPr>
          <w:p w14:paraId="167ED9E2"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£10.43</w:t>
            </w:r>
          </w:p>
        </w:tc>
        <w:tc>
          <w:tcPr>
            <w:tcW w:w="1091" w:type="dxa"/>
            <w:noWrap/>
            <w:hideMark/>
          </w:tcPr>
          <w:p w14:paraId="1B796AB3"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-£0.92</w:t>
            </w:r>
          </w:p>
        </w:tc>
        <w:tc>
          <w:tcPr>
            <w:tcW w:w="1843" w:type="dxa"/>
            <w:noWrap/>
            <w:hideMark/>
          </w:tcPr>
          <w:p w14:paraId="1BFF2654"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-9.64%</w:t>
            </w:r>
          </w:p>
        </w:tc>
      </w:tr>
      <w:tr w:rsidR="000F4D32" w:rsidRPr="000F4D32" w14:paraId="755A8661" w14:textId="77777777" w:rsidTr="007F0C28">
        <w:trPr>
          <w:trHeight w:val="315"/>
        </w:trPr>
        <w:tc>
          <w:tcPr>
            <w:tcW w:w="4535" w:type="dxa"/>
            <w:noWrap/>
            <w:hideMark/>
          </w:tcPr>
          <w:p w14:paraId="691117A4" w14:textId="77777777" w:rsidR="000F4D32" w:rsidRPr="000F4D32" w:rsidRDefault="000F4D32" w:rsidP="000F4D32">
            <w:pPr>
              <w:spacing w:line="360" w:lineRule="auto"/>
              <w:rPr>
                <w:rFonts w:ascii="Arial" w:eastAsia="Arial" w:hAnsi="Arial" w:cs="Arial"/>
                <w:color w:val="000000" w:themeColor="text1"/>
              </w:rPr>
            </w:pPr>
            <w:r w:rsidRPr="000F4D32">
              <w:rPr>
                <w:rFonts w:ascii="Arial" w:eastAsia="Arial" w:hAnsi="Arial" w:cs="Arial"/>
                <w:color w:val="000000" w:themeColor="text1"/>
              </w:rPr>
              <w:t>Band 3.</w:t>
            </w:r>
          </w:p>
        </w:tc>
        <w:tc>
          <w:tcPr>
            <w:tcW w:w="951" w:type="dxa"/>
            <w:noWrap/>
            <w:hideMark/>
          </w:tcPr>
          <w:p w14:paraId="4FC4DED2"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£11.21</w:t>
            </w:r>
          </w:p>
        </w:tc>
        <w:tc>
          <w:tcPr>
            <w:tcW w:w="1044" w:type="dxa"/>
            <w:noWrap/>
            <w:hideMark/>
          </w:tcPr>
          <w:p w14:paraId="4EA4FBE0"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£11.38</w:t>
            </w:r>
          </w:p>
        </w:tc>
        <w:tc>
          <w:tcPr>
            <w:tcW w:w="1091" w:type="dxa"/>
            <w:noWrap/>
            <w:hideMark/>
          </w:tcPr>
          <w:p w14:paraId="2A5F9532"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-£0.17</w:t>
            </w:r>
          </w:p>
        </w:tc>
        <w:tc>
          <w:tcPr>
            <w:tcW w:w="1843" w:type="dxa"/>
            <w:noWrap/>
            <w:hideMark/>
          </w:tcPr>
          <w:p w14:paraId="2FEB6A52"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-1.49%</w:t>
            </w:r>
          </w:p>
        </w:tc>
      </w:tr>
      <w:tr w:rsidR="000F4D32" w:rsidRPr="000F4D32" w14:paraId="2AB8DBEE" w14:textId="77777777" w:rsidTr="007F0C28">
        <w:trPr>
          <w:trHeight w:val="315"/>
        </w:trPr>
        <w:tc>
          <w:tcPr>
            <w:tcW w:w="4535" w:type="dxa"/>
            <w:noWrap/>
            <w:hideMark/>
          </w:tcPr>
          <w:p w14:paraId="2CE23917" w14:textId="77777777" w:rsidR="000F4D32" w:rsidRPr="000F4D32" w:rsidRDefault="000F4D32" w:rsidP="000F4D32">
            <w:pPr>
              <w:spacing w:line="360" w:lineRule="auto"/>
              <w:rPr>
                <w:rFonts w:ascii="Arial" w:eastAsia="Arial" w:hAnsi="Arial" w:cs="Arial"/>
                <w:color w:val="000000" w:themeColor="text1"/>
              </w:rPr>
            </w:pPr>
            <w:r w:rsidRPr="000F4D32">
              <w:rPr>
                <w:rFonts w:ascii="Arial" w:eastAsia="Arial" w:hAnsi="Arial" w:cs="Arial"/>
                <w:color w:val="000000" w:themeColor="text1"/>
              </w:rPr>
              <w:t>Band 4.</w:t>
            </w:r>
          </w:p>
        </w:tc>
        <w:tc>
          <w:tcPr>
            <w:tcW w:w="951" w:type="dxa"/>
            <w:noWrap/>
            <w:hideMark/>
          </w:tcPr>
          <w:p w14:paraId="7DB4F8F3"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£12.22</w:t>
            </w:r>
          </w:p>
        </w:tc>
        <w:tc>
          <w:tcPr>
            <w:tcW w:w="1044" w:type="dxa"/>
            <w:noWrap/>
            <w:hideMark/>
          </w:tcPr>
          <w:p w14:paraId="22BF7B10"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£12.37</w:t>
            </w:r>
          </w:p>
        </w:tc>
        <w:tc>
          <w:tcPr>
            <w:tcW w:w="1091" w:type="dxa"/>
            <w:noWrap/>
            <w:hideMark/>
          </w:tcPr>
          <w:p w14:paraId="26E0E729"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-£0.15</w:t>
            </w:r>
          </w:p>
        </w:tc>
        <w:tc>
          <w:tcPr>
            <w:tcW w:w="1843" w:type="dxa"/>
            <w:noWrap/>
            <w:hideMark/>
          </w:tcPr>
          <w:p w14:paraId="1D10DB46"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-1.24%</w:t>
            </w:r>
          </w:p>
        </w:tc>
      </w:tr>
      <w:tr w:rsidR="000F4D32" w:rsidRPr="000F4D32" w14:paraId="57A2FFAB" w14:textId="77777777" w:rsidTr="007F0C28">
        <w:trPr>
          <w:trHeight w:val="315"/>
        </w:trPr>
        <w:tc>
          <w:tcPr>
            <w:tcW w:w="4535" w:type="dxa"/>
            <w:noWrap/>
            <w:hideMark/>
          </w:tcPr>
          <w:p w14:paraId="10DA0897" w14:textId="77777777" w:rsidR="000F4D32" w:rsidRPr="000F4D32" w:rsidRDefault="000F4D32" w:rsidP="000F4D32">
            <w:pPr>
              <w:spacing w:line="360" w:lineRule="auto"/>
              <w:rPr>
                <w:rFonts w:ascii="Arial" w:eastAsia="Arial" w:hAnsi="Arial" w:cs="Arial"/>
                <w:color w:val="000000" w:themeColor="text1"/>
              </w:rPr>
            </w:pPr>
            <w:r w:rsidRPr="000F4D32">
              <w:rPr>
                <w:rFonts w:ascii="Arial" w:eastAsia="Arial" w:hAnsi="Arial" w:cs="Arial"/>
                <w:color w:val="000000" w:themeColor="text1"/>
              </w:rPr>
              <w:t>Band 5.</w:t>
            </w:r>
          </w:p>
        </w:tc>
        <w:tc>
          <w:tcPr>
            <w:tcW w:w="951" w:type="dxa"/>
            <w:noWrap/>
            <w:hideMark/>
          </w:tcPr>
          <w:p w14:paraId="17883524"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£14.98</w:t>
            </w:r>
          </w:p>
        </w:tc>
        <w:tc>
          <w:tcPr>
            <w:tcW w:w="1044" w:type="dxa"/>
            <w:noWrap/>
            <w:hideMark/>
          </w:tcPr>
          <w:p w14:paraId="5F6B66F7"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£15.32</w:t>
            </w:r>
          </w:p>
        </w:tc>
        <w:tc>
          <w:tcPr>
            <w:tcW w:w="1091" w:type="dxa"/>
            <w:noWrap/>
            <w:hideMark/>
          </w:tcPr>
          <w:p w14:paraId="3659F71C"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-£0.35</w:t>
            </w:r>
          </w:p>
        </w:tc>
        <w:tc>
          <w:tcPr>
            <w:tcW w:w="1843" w:type="dxa"/>
            <w:noWrap/>
            <w:hideMark/>
          </w:tcPr>
          <w:p w14:paraId="3469BDCC"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-2.31%</w:t>
            </w:r>
          </w:p>
        </w:tc>
      </w:tr>
      <w:tr w:rsidR="000F4D32" w:rsidRPr="000F4D32" w14:paraId="370237FB" w14:textId="77777777" w:rsidTr="007F0C28">
        <w:trPr>
          <w:trHeight w:val="315"/>
        </w:trPr>
        <w:tc>
          <w:tcPr>
            <w:tcW w:w="4535" w:type="dxa"/>
            <w:noWrap/>
            <w:hideMark/>
          </w:tcPr>
          <w:p w14:paraId="233724AE" w14:textId="77777777" w:rsidR="000F4D32" w:rsidRPr="000F4D32" w:rsidRDefault="000F4D32" w:rsidP="000F4D32">
            <w:pPr>
              <w:spacing w:line="360" w:lineRule="auto"/>
              <w:rPr>
                <w:rFonts w:ascii="Arial" w:eastAsia="Arial" w:hAnsi="Arial" w:cs="Arial"/>
                <w:color w:val="000000" w:themeColor="text1"/>
              </w:rPr>
            </w:pPr>
            <w:r w:rsidRPr="000F4D32">
              <w:rPr>
                <w:rFonts w:ascii="Arial" w:eastAsia="Arial" w:hAnsi="Arial" w:cs="Arial"/>
                <w:color w:val="000000" w:themeColor="text1"/>
              </w:rPr>
              <w:t>Band 6.</w:t>
            </w:r>
          </w:p>
        </w:tc>
        <w:tc>
          <w:tcPr>
            <w:tcW w:w="951" w:type="dxa"/>
            <w:noWrap/>
            <w:hideMark/>
          </w:tcPr>
          <w:p w14:paraId="1586EDB9"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£17.46</w:t>
            </w:r>
          </w:p>
        </w:tc>
        <w:tc>
          <w:tcPr>
            <w:tcW w:w="1044" w:type="dxa"/>
            <w:noWrap/>
            <w:hideMark/>
          </w:tcPr>
          <w:p w14:paraId="745A82C2"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£17.48</w:t>
            </w:r>
          </w:p>
        </w:tc>
        <w:tc>
          <w:tcPr>
            <w:tcW w:w="1091" w:type="dxa"/>
            <w:noWrap/>
            <w:hideMark/>
          </w:tcPr>
          <w:p w14:paraId="4F57414A"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-£0.01</w:t>
            </w:r>
          </w:p>
        </w:tc>
        <w:tc>
          <w:tcPr>
            <w:tcW w:w="1843" w:type="dxa"/>
            <w:noWrap/>
            <w:hideMark/>
          </w:tcPr>
          <w:p w14:paraId="6170949D"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-0.08%</w:t>
            </w:r>
          </w:p>
        </w:tc>
      </w:tr>
      <w:tr w:rsidR="000F4D32" w:rsidRPr="000F4D32" w14:paraId="0B0A0983" w14:textId="77777777" w:rsidTr="007F0C28">
        <w:trPr>
          <w:trHeight w:val="315"/>
        </w:trPr>
        <w:tc>
          <w:tcPr>
            <w:tcW w:w="4535" w:type="dxa"/>
            <w:noWrap/>
            <w:hideMark/>
          </w:tcPr>
          <w:p w14:paraId="6B2A7611" w14:textId="77777777" w:rsidR="000F4D32" w:rsidRPr="000F4D32" w:rsidRDefault="000F4D32" w:rsidP="000F4D32">
            <w:pPr>
              <w:spacing w:line="360" w:lineRule="auto"/>
              <w:rPr>
                <w:rFonts w:ascii="Arial" w:eastAsia="Arial" w:hAnsi="Arial" w:cs="Arial"/>
                <w:color w:val="000000" w:themeColor="text1"/>
              </w:rPr>
            </w:pPr>
            <w:r w:rsidRPr="000F4D32">
              <w:rPr>
                <w:rFonts w:ascii="Arial" w:eastAsia="Arial" w:hAnsi="Arial" w:cs="Arial"/>
                <w:color w:val="000000" w:themeColor="text1"/>
              </w:rPr>
              <w:t>Band 7.</w:t>
            </w:r>
          </w:p>
        </w:tc>
        <w:tc>
          <w:tcPr>
            <w:tcW w:w="951" w:type="dxa"/>
            <w:noWrap/>
            <w:hideMark/>
          </w:tcPr>
          <w:p w14:paraId="57005ADE"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£22.34</w:t>
            </w:r>
          </w:p>
        </w:tc>
        <w:tc>
          <w:tcPr>
            <w:tcW w:w="1044" w:type="dxa"/>
            <w:noWrap/>
            <w:hideMark/>
          </w:tcPr>
          <w:p w14:paraId="43AAD7AE"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£22.64</w:t>
            </w:r>
          </w:p>
        </w:tc>
        <w:tc>
          <w:tcPr>
            <w:tcW w:w="1091" w:type="dxa"/>
            <w:noWrap/>
            <w:hideMark/>
          </w:tcPr>
          <w:p w14:paraId="0C2110AC"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-£0.30</w:t>
            </w:r>
          </w:p>
        </w:tc>
        <w:tc>
          <w:tcPr>
            <w:tcW w:w="1843" w:type="dxa"/>
            <w:noWrap/>
            <w:hideMark/>
          </w:tcPr>
          <w:p w14:paraId="6B893D85"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-1.32%</w:t>
            </w:r>
          </w:p>
        </w:tc>
      </w:tr>
      <w:tr w:rsidR="000F4D32" w:rsidRPr="000F4D32" w14:paraId="3EDC075A" w14:textId="77777777" w:rsidTr="007F0C28">
        <w:trPr>
          <w:trHeight w:val="315"/>
        </w:trPr>
        <w:tc>
          <w:tcPr>
            <w:tcW w:w="4535" w:type="dxa"/>
            <w:noWrap/>
            <w:hideMark/>
          </w:tcPr>
          <w:p w14:paraId="1B1B932D" w14:textId="77777777" w:rsidR="000F4D32" w:rsidRPr="000F4D32" w:rsidRDefault="000F4D32" w:rsidP="000F4D32">
            <w:pPr>
              <w:spacing w:line="360" w:lineRule="auto"/>
              <w:rPr>
                <w:rFonts w:ascii="Arial" w:eastAsia="Arial" w:hAnsi="Arial" w:cs="Arial"/>
                <w:color w:val="000000" w:themeColor="text1"/>
              </w:rPr>
            </w:pPr>
            <w:r w:rsidRPr="000F4D32">
              <w:rPr>
                <w:rFonts w:ascii="Arial" w:eastAsia="Arial" w:hAnsi="Arial" w:cs="Arial"/>
                <w:color w:val="000000" w:themeColor="text1"/>
              </w:rPr>
              <w:t>Band 8A.</w:t>
            </w:r>
          </w:p>
        </w:tc>
        <w:tc>
          <w:tcPr>
            <w:tcW w:w="951" w:type="dxa"/>
            <w:noWrap/>
            <w:hideMark/>
          </w:tcPr>
          <w:p w14:paraId="0BE9DBC0"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£26.40</w:t>
            </w:r>
          </w:p>
        </w:tc>
        <w:tc>
          <w:tcPr>
            <w:tcW w:w="1044" w:type="dxa"/>
            <w:noWrap/>
            <w:hideMark/>
          </w:tcPr>
          <w:p w14:paraId="25A00348"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£26.27</w:t>
            </w:r>
          </w:p>
        </w:tc>
        <w:tc>
          <w:tcPr>
            <w:tcW w:w="1091" w:type="dxa"/>
            <w:noWrap/>
            <w:hideMark/>
          </w:tcPr>
          <w:p w14:paraId="06AAB348"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£0.14</w:t>
            </w:r>
          </w:p>
        </w:tc>
        <w:tc>
          <w:tcPr>
            <w:tcW w:w="1843" w:type="dxa"/>
            <w:noWrap/>
            <w:hideMark/>
          </w:tcPr>
          <w:p w14:paraId="5DAC87A1"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0.52%</w:t>
            </w:r>
          </w:p>
        </w:tc>
      </w:tr>
      <w:tr w:rsidR="000F4D32" w:rsidRPr="000F4D32" w14:paraId="4378119F" w14:textId="77777777" w:rsidTr="007F0C28">
        <w:trPr>
          <w:trHeight w:val="315"/>
        </w:trPr>
        <w:tc>
          <w:tcPr>
            <w:tcW w:w="4535" w:type="dxa"/>
            <w:noWrap/>
            <w:hideMark/>
          </w:tcPr>
          <w:p w14:paraId="1A12D5B3" w14:textId="77777777" w:rsidR="000F4D32" w:rsidRPr="000F4D32" w:rsidRDefault="000F4D32" w:rsidP="000F4D32">
            <w:pPr>
              <w:spacing w:line="360" w:lineRule="auto"/>
              <w:rPr>
                <w:rFonts w:ascii="Arial" w:eastAsia="Arial" w:hAnsi="Arial" w:cs="Arial"/>
                <w:color w:val="000000" w:themeColor="text1"/>
              </w:rPr>
            </w:pPr>
            <w:r w:rsidRPr="000F4D32">
              <w:rPr>
                <w:rFonts w:ascii="Arial" w:eastAsia="Arial" w:hAnsi="Arial" w:cs="Arial"/>
                <w:color w:val="000000" w:themeColor="text1"/>
              </w:rPr>
              <w:t>Band 8B.</w:t>
            </w:r>
          </w:p>
        </w:tc>
        <w:tc>
          <w:tcPr>
            <w:tcW w:w="951" w:type="dxa"/>
            <w:noWrap/>
            <w:hideMark/>
          </w:tcPr>
          <w:p w14:paraId="5F9CEAE0"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£31.81</w:t>
            </w:r>
          </w:p>
        </w:tc>
        <w:tc>
          <w:tcPr>
            <w:tcW w:w="1044" w:type="dxa"/>
            <w:noWrap/>
            <w:hideMark/>
          </w:tcPr>
          <w:p w14:paraId="21EB6BB8"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£31.85</w:t>
            </w:r>
          </w:p>
        </w:tc>
        <w:tc>
          <w:tcPr>
            <w:tcW w:w="1091" w:type="dxa"/>
            <w:noWrap/>
            <w:hideMark/>
          </w:tcPr>
          <w:p w14:paraId="5F902B3D"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-£0.04</w:t>
            </w:r>
          </w:p>
        </w:tc>
        <w:tc>
          <w:tcPr>
            <w:tcW w:w="1843" w:type="dxa"/>
            <w:noWrap/>
            <w:hideMark/>
          </w:tcPr>
          <w:p w14:paraId="38D7A23F"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-0.12%</w:t>
            </w:r>
          </w:p>
        </w:tc>
      </w:tr>
      <w:tr w:rsidR="000F4D32" w:rsidRPr="000F4D32" w14:paraId="19F4F76E" w14:textId="77777777" w:rsidTr="007F0C28">
        <w:trPr>
          <w:trHeight w:val="315"/>
        </w:trPr>
        <w:tc>
          <w:tcPr>
            <w:tcW w:w="4535" w:type="dxa"/>
            <w:noWrap/>
            <w:hideMark/>
          </w:tcPr>
          <w:p w14:paraId="7048C638" w14:textId="77777777" w:rsidR="000F4D32" w:rsidRPr="000F4D32" w:rsidRDefault="000F4D32" w:rsidP="000F4D32">
            <w:pPr>
              <w:spacing w:line="360" w:lineRule="auto"/>
              <w:rPr>
                <w:rFonts w:ascii="Arial" w:eastAsia="Arial" w:hAnsi="Arial" w:cs="Arial"/>
                <w:color w:val="000000" w:themeColor="text1"/>
              </w:rPr>
            </w:pPr>
            <w:r w:rsidRPr="000F4D32">
              <w:rPr>
                <w:rFonts w:ascii="Arial" w:eastAsia="Arial" w:hAnsi="Arial" w:cs="Arial"/>
                <w:color w:val="000000" w:themeColor="text1"/>
              </w:rPr>
              <w:t>Band 8C.</w:t>
            </w:r>
          </w:p>
        </w:tc>
        <w:tc>
          <w:tcPr>
            <w:tcW w:w="951" w:type="dxa"/>
            <w:noWrap/>
            <w:hideMark/>
          </w:tcPr>
          <w:p w14:paraId="32E93ACC"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£38.63</w:t>
            </w:r>
          </w:p>
        </w:tc>
        <w:tc>
          <w:tcPr>
            <w:tcW w:w="1044" w:type="dxa"/>
            <w:noWrap/>
            <w:hideMark/>
          </w:tcPr>
          <w:p w14:paraId="38815FAE"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£37.81</w:t>
            </w:r>
          </w:p>
        </w:tc>
        <w:tc>
          <w:tcPr>
            <w:tcW w:w="1091" w:type="dxa"/>
            <w:noWrap/>
            <w:hideMark/>
          </w:tcPr>
          <w:p w14:paraId="56405932"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£0.81</w:t>
            </w:r>
          </w:p>
        </w:tc>
        <w:tc>
          <w:tcPr>
            <w:tcW w:w="1843" w:type="dxa"/>
            <w:noWrap/>
            <w:hideMark/>
          </w:tcPr>
          <w:p w14:paraId="7DAABBD6"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2.10%</w:t>
            </w:r>
          </w:p>
        </w:tc>
      </w:tr>
      <w:tr w:rsidR="000F4D32" w:rsidRPr="000F4D32" w14:paraId="0BF36C44" w14:textId="77777777" w:rsidTr="007F0C28">
        <w:trPr>
          <w:trHeight w:val="315"/>
        </w:trPr>
        <w:tc>
          <w:tcPr>
            <w:tcW w:w="4535" w:type="dxa"/>
            <w:noWrap/>
            <w:hideMark/>
          </w:tcPr>
          <w:p w14:paraId="65C50602" w14:textId="77777777" w:rsidR="000F4D32" w:rsidRPr="000F4D32" w:rsidRDefault="000F4D32" w:rsidP="000F4D32">
            <w:pPr>
              <w:spacing w:line="360" w:lineRule="auto"/>
              <w:rPr>
                <w:rFonts w:ascii="Arial" w:eastAsia="Arial" w:hAnsi="Arial" w:cs="Arial"/>
                <w:color w:val="000000" w:themeColor="text1"/>
              </w:rPr>
            </w:pPr>
            <w:r w:rsidRPr="000F4D32">
              <w:rPr>
                <w:rFonts w:ascii="Arial" w:eastAsia="Arial" w:hAnsi="Arial" w:cs="Arial"/>
                <w:color w:val="000000" w:themeColor="text1"/>
              </w:rPr>
              <w:t>Band 8D.</w:t>
            </w:r>
          </w:p>
        </w:tc>
        <w:tc>
          <w:tcPr>
            <w:tcW w:w="951" w:type="dxa"/>
            <w:noWrap/>
            <w:hideMark/>
          </w:tcPr>
          <w:p w14:paraId="52846CC4"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£43.89</w:t>
            </w:r>
          </w:p>
        </w:tc>
        <w:tc>
          <w:tcPr>
            <w:tcW w:w="1044" w:type="dxa"/>
            <w:noWrap/>
            <w:hideMark/>
          </w:tcPr>
          <w:p w14:paraId="3D4D8693"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£44.91</w:t>
            </w:r>
          </w:p>
        </w:tc>
        <w:tc>
          <w:tcPr>
            <w:tcW w:w="1091" w:type="dxa"/>
            <w:noWrap/>
            <w:hideMark/>
          </w:tcPr>
          <w:p w14:paraId="62309A67"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-£1.03</w:t>
            </w:r>
          </w:p>
        </w:tc>
        <w:tc>
          <w:tcPr>
            <w:tcW w:w="1843" w:type="dxa"/>
            <w:noWrap/>
            <w:hideMark/>
          </w:tcPr>
          <w:p w14:paraId="7DA05BEC"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-2.34%</w:t>
            </w:r>
          </w:p>
        </w:tc>
      </w:tr>
      <w:tr w:rsidR="000F4D32" w:rsidRPr="000F4D32" w14:paraId="34DD701B" w14:textId="77777777" w:rsidTr="007F0C28">
        <w:trPr>
          <w:trHeight w:val="315"/>
        </w:trPr>
        <w:tc>
          <w:tcPr>
            <w:tcW w:w="4535" w:type="dxa"/>
            <w:noWrap/>
            <w:hideMark/>
          </w:tcPr>
          <w:p w14:paraId="148D262D" w14:textId="77777777" w:rsidR="000F4D32" w:rsidRPr="006D7575" w:rsidRDefault="000F4D32" w:rsidP="000F4D32">
            <w:pPr>
              <w:spacing w:line="360" w:lineRule="auto"/>
              <w:rPr>
                <w:rFonts w:ascii="Arial" w:eastAsia="Arial" w:hAnsi="Arial" w:cs="Arial"/>
                <w:color w:val="000000" w:themeColor="text1"/>
              </w:rPr>
            </w:pPr>
            <w:r w:rsidRPr="006D7575">
              <w:rPr>
                <w:rFonts w:ascii="Arial" w:eastAsia="Arial" w:hAnsi="Arial" w:cs="Arial"/>
                <w:color w:val="000000" w:themeColor="text1"/>
              </w:rPr>
              <w:t>Executive Managers Cohort / Band 9</w:t>
            </w:r>
          </w:p>
        </w:tc>
        <w:tc>
          <w:tcPr>
            <w:tcW w:w="951" w:type="dxa"/>
            <w:noWrap/>
            <w:hideMark/>
          </w:tcPr>
          <w:p w14:paraId="05FE4C0A"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£53.63</w:t>
            </w:r>
          </w:p>
        </w:tc>
        <w:tc>
          <w:tcPr>
            <w:tcW w:w="1044" w:type="dxa"/>
            <w:noWrap/>
            <w:hideMark/>
          </w:tcPr>
          <w:p w14:paraId="07B7DE3F"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£53.24</w:t>
            </w:r>
          </w:p>
        </w:tc>
        <w:tc>
          <w:tcPr>
            <w:tcW w:w="1091" w:type="dxa"/>
            <w:noWrap/>
            <w:hideMark/>
          </w:tcPr>
          <w:p w14:paraId="33D5DCB9"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£0.39</w:t>
            </w:r>
          </w:p>
        </w:tc>
        <w:tc>
          <w:tcPr>
            <w:tcW w:w="1843" w:type="dxa"/>
            <w:noWrap/>
            <w:hideMark/>
          </w:tcPr>
          <w:p w14:paraId="2E8163C6" w14:textId="77777777" w:rsidR="000F4D32" w:rsidRPr="000F4D32" w:rsidRDefault="000F4D32" w:rsidP="00381A9B">
            <w:pPr>
              <w:spacing w:line="360" w:lineRule="auto"/>
              <w:jc w:val="center"/>
              <w:rPr>
                <w:rFonts w:ascii="Arial" w:eastAsia="Arial" w:hAnsi="Arial" w:cs="Arial"/>
                <w:color w:val="000000" w:themeColor="text1"/>
              </w:rPr>
            </w:pPr>
            <w:r w:rsidRPr="000F4D32">
              <w:rPr>
                <w:rFonts w:ascii="Arial" w:eastAsia="Arial" w:hAnsi="Arial" w:cs="Arial"/>
                <w:color w:val="000000" w:themeColor="text1"/>
              </w:rPr>
              <w:t>0.72%</w:t>
            </w:r>
          </w:p>
        </w:tc>
      </w:tr>
    </w:tbl>
    <w:p w14:paraId="5FE123DF" w14:textId="77777777" w:rsidR="00F74773" w:rsidRDefault="00F74773" w:rsidP="00AF0A00">
      <w:pPr>
        <w:spacing w:line="360" w:lineRule="auto"/>
        <w:rPr>
          <w:rFonts w:ascii="Arial" w:eastAsia="Arial" w:hAnsi="Arial" w:cs="Arial"/>
          <w:color w:val="000000" w:themeColor="text1"/>
        </w:rPr>
      </w:pPr>
    </w:p>
    <w:p w14:paraId="12B9206E" w14:textId="54E5068B" w:rsidR="00434F09" w:rsidRDefault="0010493F" w:rsidP="00434F09">
      <w:pPr>
        <w:spacing w:line="360" w:lineRule="auto"/>
        <w:rPr>
          <w:rFonts w:ascii="Arial" w:eastAsia="Arial" w:hAnsi="Arial" w:cs="Arial"/>
          <w:color w:val="000000" w:themeColor="text1"/>
        </w:rPr>
      </w:pPr>
      <w:r>
        <w:rPr>
          <w:rFonts w:ascii="Arial" w:eastAsia="Arial" w:hAnsi="Arial" w:cs="Arial"/>
          <w:color w:val="000000" w:themeColor="text1"/>
        </w:rPr>
        <w:t>As Table 2 illustrates, differential</w:t>
      </w:r>
      <w:r w:rsidR="003E419C">
        <w:rPr>
          <w:rFonts w:ascii="Arial" w:eastAsia="Arial" w:hAnsi="Arial" w:cs="Arial"/>
          <w:color w:val="000000" w:themeColor="text1"/>
        </w:rPr>
        <w:t>s within pay bands are minimal other than at band 2. Differential pay rates between pay bands</w:t>
      </w:r>
      <w:r w:rsidR="00D03215">
        <w:rPr>
          <w:rFonts w:ascii="Arial" w:eastAsia="Arial" w:hAnsi="Arial" w:cs="Arial"/>
          <w:color w:val="000000" w:themeColor="text1"/>
        </w:rPr>
        <w:t xml:space="preserve"> primarily result from the</w:t>
      </w:r>
      <w:r w:rsidR="00D334EB">
        <w:rPr>
          <w:rFonts w:ascii="Arial" w:eastAsia="Arial" w:hAnsi="Arial" w:cs="Arial"/>
          <w:color w:val="000000" w:themeColor="text1"/>
        </w:rPr>
        <w:t xml:space="preserve"> number of male and female staff distributed at different </w:t>
      </w:r>
      <w:r w:rsidR="006A1783">
        <w:rPr>
          <w:rFonts w:ascii="Arial" w:eastAsia="Arial" w:hAnsi="Arial" w:cs="Arial"/>
          <w:color w:val="000000" w:themeColor="text1"/>
        </w:rPr>
        <w:t xml:space="preserve">incremental points within the pay bands. In NES progression through these incremental pay points is a matter of tenure in post. NES has very few staff at Band 2, meaning that Band 2 in particular </w:t>
      </w:r>
      <w:r w:rsidR="00A00098">
        <w:rPr>
          <w:rFonts w:ascii="Arial" w:eastAsia="Arial" w:hAnsi="Arial" w:cs="Arial"/>
          <w:color w:val="000000" w:themeColor="text1"/>
        </w:rPr>
        <w:t>is</w:t>
      </w:r>
      <w:r w:rsidR="006A1783">
        <w:rPr>
          <w:rFonts w:ascii="Arial" w:eastAsia="Arial" w:hAnsi="Arial" w:cs="Arial"/>
          <w:color w:val="000000" w:themeColor="text1"/>
        </w:rPr>
        <w:t xml:space="preserve"> highly su</w:t>
      </w:r>
      <w:r w:rsidR="003265C9">
        <w:rPr>
          <w:rFonts w:ascii="Arial" w:eastAsia="Arial" w:hAnsi="Arial" w:cs="Arial"/>
          <w:color w:val="000000" w:themeColor="text1"/>
        </w:rPr>
        <w:t>bject to the impact of individual results (‘skew’ in statistical terms)</w:t>
      </w:r>
      <w:r w:rsidR="003869FF">
        <w:rPr>
          <w:rFonts w:ascii="Arial" w:eastAsia="Arial" w:hAnsi="Arial" w:cs="Arial"/>
          <w:color w:val="000000" w:themeColor="text1"/>
        </w:rPr>
        <w:t xml:space="preserve">, </w:t>
      </w:r>
      <w:proofErr w:type="spellStart"/>
      <w:r w:rsidR="003869FF">
        <w:rPr>
          <w:rFonts w:ascii="Arial" w:eastAsia="Arial" w:hAnsi="Arial" w:cs="Arial"/>
          <w:color w:val="000000" w:themeColor="text1"/>
        </w:rPr>
        <w:t>ie</w:t>
      </w:r>
      <w:proofErr w:type="spellEnd"/>
      <w:r w:rsidR="003869FF">
        <w:rPr>
          <w:rFonts w:ascii="Arial" w:eastAsia="Arial" w:hAnsi="Arial" w:cs="Arial"/>
          <w:color w:val="000000" w:themeColor="text1"/>
        </w:rPr>
        <w:t xml:space="preserve">, when one person </w:t>
      </w:r>
      <w:r w:rsidR="00240842">
        <w:rPr>
          <w:rFonts w:ascii="Arial" w:eastAsia="Arial" w:hAnsi="Arial" w:cs="Arial"/>
          <w:color w:val="000000" w:themeColor="text1"/>
        </w:rPr>
        <w:t>is very new in post and another has worked for NES for a number of years.</w:t>
      </w:r>
    </w:p>
    <w:p w14:paraId="231BF8A6" w14:textId="031ECCC1" w:rsidR="00434F09" w:rsidRDefault="00434F09" w:rsidP="00434F09">
      <w:pPr>
        <w:spacing w:line="360" w:lineRule="auto"/>
        <w:rPr>
          <w:rFonts w:ascii="Arial" w:eastAsia="Arial" w:hAnsi="Arial" w:cs="Arial"/>
          <w:color w:val="000000" w:themeColor="text1"/>
        </w:rPr>
      </w:pPr>
    </w:p>
    <w:p w14:paraId="4FA1B06D" w14:textId="5EF156F6" w:rsidR="00434F09" w:rsidRDefault="00434F09" w:rsidP="00434F09">
      <w:pPr>
        <w:spacing w:line="360" w:lineRule="auto"/>
        <w:rPr>
          <w:rFonts w:ascii="Arial" w:eastAsia="Arial" w:hAnsi="Arial" w:cs="Arial"/>
          <w:color w:val="000000" w:themeColor="text1"/>
        </w:rPr>
      </w:pPr>
      <w:r>
        <w:rPr>
          <w:rFonts w:ascii="Arial" w:eastAsia="Arial" w:hAnsi="Arial" w:cs="Arial"/>
          <w:color w:val="000000" w:themeColor="text1"/>
        </w:rPr>
        <w:t xml:space="preserve">If we calculate the </w:t>
      </w:r>
      <w:r w:rsidR="00AA61DD">
        <w:rPr>
          <w:rFonts w:ascii="Arial" w:eastAsia="Arial" w:hAnsi="Arial" w:cs="Arial"/>
          <w:color w:val="000000" w:themeColor="text1"/>
        </w:rPr>
        <w:t xml:space="preserve">overall gender pay gap for staff on Agenda for </w:t>
      </w:r>
      <w:r w:rsidR="005F208D">
        <w:rPr>
          <w:rFonts w:ascii="Arial" w:eastAsia="Arial" w:hAnsi="Arial" w:cs="Arial"/>
          <w:color w:val="000000" w:themeColor="text1"/>
        </w:rPr>
        <w:t xml:space="preserve">Change and Executive Managers Cohort/Band 9 terms, </w:t>
      </w:r>
      <w:r w:rsidR="007E7812">
        <w:rPr>
          <w:rFonts w:ascii="Arial" w:eastAsia="Arial" w:hAnsi="Arial" w:cs="Arial"/>
          <w:color w:val="000000" w:themeColor="text1"/>
        </w:rPr>
        <w:t xml:space="preserve">comparing the average overall male hourly salary of £22.20 to the average overall </w:t>
      </w:r>
      <w:r w:rsidR="00F83139">
        <w:rPr>
          <w:rFonts w:ascii="Arial" w:eastAsia="Arial" w:hAnsi="Arial" w:cs="Arial"/>
          <w:color w:val="000000" w:themeColor="text1"/>
        </w:rPr>
        <w:t>female hourly salary of 19.91, the gender pay gap within this cohort is 10.7</w:t>
      </w:r>
      <w:r w:rsidR="00591B48">
        <w:rPr>
          <w:rFonts w:ascii="Arial" w:eastAsia="Arial" w:hAnsi="Arial" w:cs="Arial"/>
          <w:color w:val="000000" w:themeColor="text1"/>
        </w:rPr>
        <w:t>2%.</w:t>
      </w:r>
    </w:p>
    <w:p w14:paraId="6BA20D08" w14:textId="77777777" w:rsidR="001465E2" w:rsidRDefault="001465E2" w:rsidP="00434F09">
      <w:pPr>
        <w:spacing w:line="360" w:lineRule="auto"/>
        <w:rPr>
          <w:rFonts w:ascii="Arial" w:eastAsia="Arial" w:hAnsi="Arial" w:cs="Arial"/>
          <w:color w:val="000000" w:themeColor="text1"/>
        </w:rPr>
      </w:pPr>
    </w:p>
    <w:p w14:paraId="277FD82B" w14:textId="65C05AF4" w:rsidR="006675DA" w:rsidRDefault="00CF6998" w:rsidP="00AA789C">
      <w:pPr>
        <w:spacing w:line="360" w:lineRule="auto"/>
        <w:rPr>
          <w:rFonts w:ascii="Arial" w:eastAsia="Arial" w:hAnsi="Arial" w:cs="Arial"/>
          <w:color w:val="000000" w:themeColor="text1"/>
        </w:rPr>
      </w:pPr>
      <w:r>
        <w:rPr>
          <w:rFonts w:ascii="Arial" w:eastAsia="Arial" w:hAnsi="Arial" w:cs="Arial"/>
          <w:color w:val="000000" w:themeColor="text1"/>
        </w:rPr>
        <w:t xml:space="preserve">The pattern of our pay gap has shifted since we began analysis in 2017, and Table 1 demonstrates that differentials within the Agenda for Change cohort are the primary </w:t>
      </w:r>
      <w:r>
        <w:rPr>
          <w:rFonts w:ascii="Arial" w:eastAsia="Arial" w:hAnsi="Arial" w:cs="Arial"/>
          <w:color w:val="000000" w:themeColor="text1"/>
        </w:rPr>
        <w:lastRenderedPageBreak/>
        <w:t>contributing factor to our gender pay gap.</w:t>
      </w:r>
      <w:r w:rsidR="00AA789C">
        <w:rPr>
          <w:rFonts w:ascii="Arial" w:eastAsia="Arial" w:hAnsi="Arial" w:cs="Arial"/>
          <w:color w:val="000000" w:themeColor="text1"/>
        </w:rPr>
        <w:t xml:space="preserve"> </w:t>
      </w:r>
      <w:r w:rsidR="00791990">
        <w:rPr>
          <w:rFonts w:ascii="Arial" w:eastAsia="Arial" w:hAnsi="Arial" w:cs="Arial"/>
          <w:color w:val="000000" w:themeColor="text1"/>
        </w:rPr>
        <w:t>The analysis of pay variation within Agenda for Change pay bands</w:t>
      </w:r>
      <w:r w:rsidR="00901F19">
        <w:rPr>
          <w:rFonts w:ascii="Arial" w:eastAsia="Arial" w:hAnsi="Arial" w:cs="Arial"/>
          <w:color w:val="000000" w:themeColor="text1"/>
        </w:rPr>
        <w:t xml:space="preserve"> and within the Executive Managers/Band 9 cohort, aggregated into Table 2, reveals minimal variance within pay bands. </w:t>
      </w:r>
      <w:r w:rsidR="00C638C6">
        <w:rPr>
          <w:rFonts w:ascii="Arial" w:eastAsia="Arial" w:hAnsi="Arial" w:cs="Arial"/>
          <w:color w:val="000000" w:themeColor="text1"/>
        </w:rPr>
        <w:t xml:space="preserve">The pay gap within the Agenda for Change </w:t>
      </w:r>
      <w:r w:rsidR="006675DA">
        <w:rPr>
          <w:rFonts w:ascii="Arial" w:eastAsia="Arial" w:hAnsi="Arial" w:cs="Arial"/>
          <w:color w:val="000000" w:themeColor="text1"/>
        </w:rPr>
        <w:t>cohort results from</w:t>
      </w:r>
      <w:r w:rsidR="00591B48">
        <w:rPr>
          <w:rFonts w:ascii="Arial" w:eastAsia="Arial" w:hAnsi="Arial" w:cs="Arial"/>
          <w:color w:val="000000" w:themeColor="text1"/>
        </w:rPr>
        <w:t xml:space="preserve"> vertical</w:t>
      </w:r>
      <w:r w:rsidR="006675DA">
        <w:rPr>
          <w:rFonts w:ascii="Arial" w:eastAsia="Arial" w:hAnsi="Arial" w:cs="Arial"/>
          <w:color w:val="000000" w:themeColor="text1"/>
        </w:rPr>
        <w:t xml:space="preserve"> occupational segregation</w:t>
      </w:r>
      <w:r w:rsidR="00192982">
        <w:rPr>
          <w:rFonts w:ascii="Arial" w:eastAsia="Arial" w:hAnsi="Arial" w:cs="Arial"/>
          <w:color w:val="000000" w:themeColor="text1"/>
        </w:rPr>
        <w:t>, principally from the lower number of men working in lower pay bands. This is discussed in more detail in the next section.</w:t>
      </w:r>
    </w:p>
    <w:p w14:paraId="277FD82F" w14:textId="5E20FF25" w:rsidR="002650A0" w:rsidRDefault="002650A0" w:rsidP="00AF0A00">
      <w:pPr>
        <w:spacing w:line="360" w:lineRule="auto"/>
        <w:rPr>
          <w:rFonts w:ascii="Arial" w:eastAsia="Arial" w:hAnsi="Arial" w:cs="Arial"/>
          <w:color w:val="000000" w:themeColor="text1"/>
        </w:rPr>
      </w:pPr>
    </w:p>
    <w:p w14:paraId="277FD830" w14:textId="77777777" w:rsidR="00870364" w:rsidRDefault="00870364" w:rsidP="00AF0A00">
      <w:pPr>
        <w:spacing w:line="360" w:lineRule="auto"/>
        <w:rPr>
          <w:rFonts w:ascii="Arial" w:eastAsia="Arial" w:hAnsi="Arial" w:cs="Arial"/>
          <w:color w:val="000000" w:themeColor="text1"/>
        </w:rPr>
      </w:pPr>
      <w:r>
        <w:rPr>
          <w:rFonts w:ascii="Arial" w:eastAsia="Arial" w:hAnsi="Arial" w:cs="Arial"/>
          <w:color w:val="000000" w:themeColor="text1"/>
        </w:rPr>
        <w:t xml:space="preserve"> </w:t>
      </w:r>
    </w:p>
    <w:p w14:paraId="277FD831" w14:textId="77777777" w:rsidR="006B5E1F" w:rsidRDefault="006B5E1F" w:rsidP="00AF0A00">
      <w:pPr>
        <w:spacing w:line="360" w:lineRule="auto"/>
        <w:rPr>
          <w:rFonts w:ascii="Arial" w:eastAsia="Arial" w:hAnsi="Arial" w:cs="Arial"/>
          <w:b/>
          <w:bCs/>
          <w:color w:val="000000" w:themeColor="text1"/>
        </w:rPr>
      </w:pPr>
      <w:r>
        <w:rPr>
          <w:rFonts w:ascii="Arial" w:eastAsia="Arial" w:hAnsi="Arial" w:cs="Arial"/>
          <w:b/>
          <w:bCs/>
          <w:color w:val="000000" w:themeColor="text1"/>
        </w:rPr>
        <w:br w:type="page"/>
      </w:r>
    </w:p>
    <w:p w14:paraId="277FD832" w14:textId="4F76AB03" w:rsidR="00912047" w:rsidRPr="00AF0A00" w:rsidRDefault="005D1546" w:rsidP="00AF0A00">
      <w:pPr>
        <w:autoSpaceDE w:val="0"/>
        <w:autoSpaceDN w:val="0"/>
        <w:adjustRightInd w:val="0"/>
        <w:spacing w:line="360" w:lineRule="auto"/>
        <w:rPr>
          <w:rFonts w:ascii="Arial" w:eastAsia="Arial" w:hAnsi="Arial" w:cs="Arial"/>
          <w:b/>
          <w:bCs/>
          <w:color w:val="000000" w:themeColor="text1"/>
          <w:sz w:val="28"/>
        </w:rPr>
      </w:pPr>
      <w:r>
        <w:rPr>
          <w:rFonts w:ascii="Arial" w:eastAsia="Arial" w:hAnsi="Arial" w:cs="Arial"/>
          <w:b/>
          <w:bCs/>
          <w:color w:val="000000" w:themeColor="text1"/>
          <w:sz w:val="28"/>
        </w:rPr>
        <w:lastRenderedPageBreak/>
        <w:t xml:space="preserve">5. </w:t>
      </w:r>
      <w:r w:rsidR="51E9A9B4" w:rsidRPr="00AF0A00">
        <w:rPr>
          <w:rFonts w:ascii="Arial" w:eastAsia="Arial" w:hAnsi="Arial" w:cs="Arial"/>
          <w:b/>
          <w:bCs/>
          <w:color w:val="000000" w:themeColor="text1"/>
          <w:sz w:val="28"/>
        </w:rPr>
        <w:t>Gender Profile</w:t>
      </w:r>
    </w:p>
    <w:p w14:paraId="277FD834" w14:textId="7BDB3099" w:rsidR="008C48EC" w:rsidRDefault="51E9A9B4" w:rsidP="00AF0A00">
      <w:pPr>
        <w:autoSpaceDE w:val="0"/>
        <w:autoSpaceDN w:val="0"/>
        <w:adjustRightInd w:val="0"/>
        <w:spacing w:line="360" w:lineRule="auto"/>
        <w:rPr>
          <w:rFonts w:ascii="Arial" w:eastAsia="Arial" w:hAnsi="Arial" w:cs="Arial"/>
          <w:color w:val="000000" w:themeColor="text1"/>
        </w:rPr>
      </w:pPr>
      <w:r w:rsidRPr="51E9A9B4">
        <w:rPr>
          <w:rFonts w:ascii="Arial" w:eastAsia="Arial" w:hAnsi="Arial" w:cs="Arial"/>
          <w:color w:val="000000" w:themeColor="text1"/>
        </w:rPr>
        <w:t>The following section provides an overview of the number of women and men employed by NES in the different contractual groups as at 31</w:t>
      </w:r>
      <w:r w:rsidRPr="51E9A9B4">
        <w:rPr>
          <w:rFonts w:ascii="Arial" w:eastAsia="Arial" w:hAnsi="Arial" w:cs="Arial"/>
          <w:color w:val="000000" w:themeColor="text1"/>
          <w:vertAlign w:val="superscript"/>
        </w:rPr>
        <w:t>st</w:t>
      </w:r>
      <w:r w:rsidRPr="51E9A9B4">
        <w:rPr>
          <w:rFonts w:ascii="Arial" w:eastAsia="Arial" w:hAnsi="Arial" w:cs="Arial"/>
          <w:color w:val="000000" w:themeColor="text1"/>
        </w:rPr>
        <w:t xml:space="preserve"> March </w:t>
      </w:r>
      <w:r w:rsidR="003B6CF5">
        <w:rPr>
          <w:rFonts w:ascii="Arial" w:eastAsia="Arial" w:hAnsi="Arial" w:cs="Arial"/>
          <w:color w:val="000000" w:themeColor="text1"/>
        </w:rPr>
        <w:t>2020</w:t>
      </w:r>
      <w:r w:rsidRPr="51E9A9B4">
        <w:rPr>
          <w:rFonts w:ascii="Arial" w:eastAsia="Arial" w:hAnsi="Arial" w:cs="Arial"/>
          <w:color w:val="000000" w:themeColor="text1"/>
        </w:rPr>
        <w:t xml:space="preserve">. The gender split expressed as a percentage of the total workforce, based on headcount. </w:t>
      </w:r>
      <w:r w:rsidR="00FF0A3F">
        <w:rPr>
          <w:rFonts w:ascii="Arial" w:eastAsia="Arial" w:hAnsi="Arial" w:cs="Arial"/>
          <w:color w:val="000000" w:themeColor="text1"/>
        </w:rPr>
        <w:t xml:space="preserve">In this section we will discuss the profile of the </w:t>
      </w:r>
      <w:r w:rsidR="00AA789C">
        <w:rPr>
          <w:rFonts w:ascii="Arial" w:eastAsia="Arial" w:hAnsi="Arial" w:cs="Arial"/>
          <w:color w:val="000000" w:themeColor="text1"/>
        </w:rPr>
        <w:t>Doctors in Training</w:t>
      </w:r>
      <w:r w:rsidR="003A7295">
        <w:rPr>
          <w:rFonts w:ascii="Arial" w:eastAsia="Arial" w:hAnsi="Arial" w:cs="Arial"/>
          <w:color w:val="000000" w:themeColor="text1"/>
        </w:rPr>
        <w:t xml:space="preserve"> (DiT</w:t>
      </w:r>
      <w:r w:rsidR="005D1546">
        <w:rPr>
          <w:rFonts w:ascii="Arial" w:eastAsia="Arial" w:hAnsi="Arial" w:cs="Arial"/>
          <w:color w:val="000000" w:themeColor="text1"/>
        </w:rPr>
        <w:t>s</w:t>
      </w:r>
      <w:r w:rsidR="003A7295">
        <w:rPr>
          <w:rFonts w:ascii="Arial" w:eastAsia="Arial" w:hAnsi="Arial" w:cs="Arial"/>
          <w:color w:val="000000" w:themeColor="text1"/>
        </w:rPr>
        <w:t>)</w:t>
      </w:r>
      <w:r w:rsidR="00FF0A3F">
        <w:rPr>
          <w:rFonts w:ascii="Arial" w:eastAsia="Arial" w:hAnsi="Arial" w:cs="Arial"/>
          <w:color w:val="000000" w:themeColor="text1"/>
        </w:rPr>
        <w:t xml:space="preserve"> separately. In the following analysis, all statistics and tables refer to NES staffing </w:t>
      </w:r>
      <w:r w:rsidR="00FF0A3F" w:rsidRPr="005D1546">
        <w:rPr>
          <w:rFonts w:ascii="Arial" w:eastAsia="Arial" w:hAnsi="Arial" w:cs="Arial"/>
          <w:i/>
          <w:iCs/>
          <w:color w:val="000000" w:themeColor="text1"/>
        </w:rPr>
        <w:t>excluding</w:t>
      </w:r>
      <w:r w:rsidR="00FF0A3F">
        <w:rPr>
          <w:rFonts w:ascii="Arial" w:eastAsia="Arial" w:hAnsi="Arial" w:cs="Arial"/>
          <w:color w:val="000000" w:themeColor="text1"/>
        </w:rPr>
        <w:t xml:space="preserve"> </w:t>
      </w:r>
      <w:r w:rsidR="003A7295">
        <w:rPr>
          <w:rFonts w:ascii="Arial" w:eastAsia="Arial" w:hAnsi="Arial" w:cs="Arial"/>
          <w:color w:val="000000" w:themeColor="text1"/>
        </w:rPr>
        <w:t>DiTs</w:t>
      </w:r>
      <w:r w:rsidR="00FF0A3F">
        <w:rPr>
          <w:rFonts w:ascii="Arial" w:eastAsia="Arial" w:hAnsi="Arial" w:cs="Arial"/>
          <w:color w:val="000000" w:themeColor="text1"/>
        </w:rPr>
        <w:t xml:space="preserve"> unless explicitly noted otherwise.</w:t>
      </w:r>
    </w:p>
    <w:p w14:paraId="277FD835" w14:textId="77777777" w:rsidR="008C48EC" w:rsidRDefault="008C48EC" w:rsidP="00AF0A00">
      <w:pPr>
        <w:autoSpaceDE w:val="0"/>
        <w:autoSpaceDN w:val="0"/>
        <w:adjustRightInd w:val="0"/>
        <w:spacing w:line="360" w:lineRule="auto"/>
        <w:rPr>
          <w:rFonts w:ascii="Arial" w:hAnsi="Arial" w:cs="Arial"/>
          <w:color w:val="000000"/>
        </w:rPr>
      </w:pPr>
    </w:p>
    <w:p w14:paraId="277FD836" w14:textId="784EE14D" w:rsidR="001D0650" w:rsidRDefault="009E0B8E" w:rsidP="00AF0A00">
      <w:pPr>
        <w:autoSpaceDE w:val="0"/>
        <w:autoSpaceDN w:val="0"/>
        <w:adjustRightInd w:val="0"/>
        <w:spacing w:line="360" w:lineRule="auto"/>
        <w:rPr>
          <w:rFonts w:ascii="Arial" w:eastAsia="Arial" w:hAnsi="Arial" w:cs="Arial"/>
          <w:color w:val="000000" w:themeColor="text1"/>
        </w:rPr>
      </w:pPr>
      <w:r>
        <w:rPr>
          <w:rFonts w:ascii="Arial" w:eastAsia="Arial" w:hAnsi="Arial" w:cs="Arial"/>
          <w:color w:val="000000" w:themeColor="text1"/>
        </w:rPr>
        <w:t>Excluding the Doctors in Training, t</w:t>
      </w:r>
      <w:r w:rsidR="51E9A9B4" w:rsidRPr="51E9A9B4">
        <w:rPr>
          <w:rFonts w:ascii="Arial" w:eastAsia="Arial" w:hAnsi="Arial" w:cs="Arial"/>
          <w:color w:val="000000" w:themeColor="text1"/>
        </w:rPr>
        <w:t>he majority of NES’s staff (</w:t>
      </w:r>
      <w:r>
        <w:rPr>
          <w:rFonts w:ascii="Arial" w:eastAsia="Arial" w:hAnsi="Arial" w:cs="Arial"/>
          <w:color w:val="000000" w:themeColor="text1"/>
        </w:rPr>
        <w:t>71%)</w:t>
      </w:r>
      <w:r w:rsidR="51E9A9B4" w:rsidRPr="51E9A9B4">
        <w:rPr>
          <w:rFonts w:ascii="Arial" w:eastAsia="Arial" w:hAnsi="Arial" w:cs="Arial"/>
          <w:color w:val="000000" w:themeColor="text1"/>
        </w:rPr>
        <w:t xml:space="preserve"> are female. The following table indicates, however, that women and </w:t>
      </w:r>
      <w:r w:rsidR="007844AD">
        <w:rPr>
          <w:rFonts w:ascii="Arial" w:eastAsia="Arial" w:hAnsi="Arial" w:cs="Arial"/>
          <w:color w:val="000000" w:themeColor="text1"/>
        </w:rPr>
        <w:t>men</w:t>
      </w:r>
      <w:r w:rsidR="51E9A9B4" w:rsidRPr="51E9A9B4">
        <w:rPr>
          <w:rFonts w:ascii="Arial" w:eastAsia="Arial" w:hAnsi="Arial" w:cs="Arial"/>
          <w:color w:val="000000" w:themeColor="text1"/>
        </w:rPr>
        <w:t xml:space="preserve"> are unevenly distributed amongst th</w:t>
      </w:r>
      <w:r w:rsidR="007844AD">
        <w:rPr>
          <w:rFonts w:ascii="Arial" w:eastAsia="Arial" w:hAnsi="Arial" w:cs="Arial"/>
          <w:color w:val="000000" w:themeColor="text1"/>
        </w:rPr>
        <w:t>e different professional groups.</w:t>
      </w:r>
    </w:p>
    <w:p w14:paraId="7364DAD3" w14:textId="77777777" w:rsidR="002B42A4" w:rsidRDefault="002B42A4" w:rsidP="00AF0A00">
      <w:pPr>
        <w:autoSpaceDE w:val="0"/>
        <w:autoSpaceDN w:val="0"/>
        <w:adjustRightInd w:val="0"/>
        <w:spacing w:line="360" w:lineRule="auto"/>
        <w:rPr>
          <w:rFonts w:ascii="Arial" w:eastAsia="Arial" w:hAnsi="Arial" w:cs="Arial"/>
          <w:color w:val="000000" w:themeColor="text1"/>
        </w:rPr>
      </w:pPr>
    </w:p>
    <w:p w14:paraId="67BA773F" w14:textId="7F124785" w:rsidR="00D86AC3" w:rsidRDefault="00D86AC3" w:rsidP="00D86AC3">
      <w:pPr>
        <w:autoSpaceDE w:val="0"/>
        <w:autoSpaceDN w:val="0"/>
        <w:adjustRightInd w:val="0"/>
        <w:spacing w:line="360" w:lineRule="auto"/>
        <w:rPr>
          <w:rFonts w:ascii="Arial" w:eastAsia="Arial" w:hAnsi="Arial" w:cs="Arial"/>
          <w:color w:val="000000" w:themeColor="text1"/>
        </w:rPr>
      </w:pPr>
      <w:r>
        <w:rPr>
          <w:rFonts w:ascii="Arial" w:eastAsia="Arial" w:hAnsi="Arial" w:cs="Arial"/>
          <w:color w:val="000000" w:themeColor="text1"/>
        </w:rPr>
        <w:t>Table 3</w:t>
      </w:r>
      <w:r w:rsidRPr="51E9A9B4">
        <w:rPr>
          <w:rFonts w:ascii="Arial" w:eastAsia="Arial" w:hAnsi="Arial" w:cs="Arial"/>
          <w:color w:val="000000" w:themeColor="text1"/>
        </w:rPr>
        <w:t xml:space="preserve"> describes the relative numbers of women and men employed by NES under the various contractual arrangements. </w:t>
      </w:r>
    </w:p>
    <w:p w14:paraId="2AFAC322" w14:textId="77777777" w:rsidR="00D86AC3" w:rsidRDefault="00D86AC3" w:rsidP="00D86AC3">
      <w:pPr>
        <w:autoSpaceDE w:val="0"/>
        <w:autoSpaceDN w:val="0"/>
        <w:adjustRightInd w:val="0"/>
        <w:spacing w:line="360" w:lineRule="auto"/>
        <w:rPr>
          <w:rFonts w:ascii="Arial" w:eastAsia="Arial" w:hAnsi="Arial" w:cs="Arial"/>
          <w:color w:val="000000" w:themeColor="text1"/>
        </w:rPr>
      </w:pPr>
    </w:p>
    <w:p w14:paraId="277FD839" w14:textId="3BA40A21" w:rsidR="00EA157D" w:rsidRDefault="00EA157D" w:rsidP="00995A1F">
      <w:pPr>
        <w:autoSpaceDE w:val="0"/>
        <w:autoSpaceDN w:val="0"/>
        <w:adjustRightInd w:val="0"/>
        <w:spacing w:line="360" w:lineRule="auto"/>
        <w:ind w:left="142"/>
        <w:rPr>
          <w:rFonts w:ascii="Arial" w:eastAsia="Arial" w:hAnsi="Arial" w:cs="Arial"/>
          <w:color w:val="000000" w:themeColor="text1"/>
        </w:rPr>
      </w:pPr>
      <w:r>
        <w:rPr>
          <w:rFonts w:ascii="Arial" w:eastAsia="Arial" w:hAnsi="Arial" w:cs="Arial"/>
          <w:color w:val="000000" w:themeColor="text1"/>
        </w:rPr>
        <w:t xml:space="preserve">Table 3: </w:t>
      </w:r>
      <w:r w:rsidR="00FF0A3F">
        <w:rPr>
          <w:rFonts w:ascii="Arial" w:eastAsia="Arial" w:hAnsi="Arial" w:cs="Arial"/>
          <w:color w:val="000000" w:themeColor="text1"/>
        </w:rPr>
        <w:t>Distribution by gender and contract type</w:t>
      </w:r>
      <w:r w:rsidR="000B656B">
        <w:rPr>
          <w:rFonts w:ascii="Arial" w:eastAsia="Arial" w:hAnsi="Arial" w:cs="Arial"/>
          <w:color w:val="000000" w:themeColor="text1"/>
        </w:rPr>
        <w:t xml:space="preserve"> (headcount) </w:t>
      </w:r>
    </w:p>
    <w:tbl>
      <w:tblPr>
        <w:tblW w:w="7191" w:type="dxa"/>
        <w:tblInd w:w="118" w:type="dxa"/>
        <w:tblLook w:val="04A0" w:firstRow="1" w:lastRow="0" w:firstColumn="1" w:lastColumn="0" w:noHBand="0" w:noVBand="1"/>
      </w:tblPr>
      <w:tblGrid>
        <w:gridCol w:w="4546"/>
        <w:gridCol w:w="725"/>
        <w:gridCol w:w="960"/>
        <w:gridCol w:w="960"/>
      </w:tblGrid>
      <w:tr w:rsidR="000B656B" w14:paraId="7834737A" w14:textId="5D135D30" w:rsidTr="00995A1F">
        <w:trPr>
          <w:trHeight w:val="315"/>
        </w:trPr>
        <w:tc>
          <w:tcPr>
            <w:tcW w:w="4546" w:type="dxa"/>
            <w:tcBorders>
              <w:top w:val="single" w:sz="12" w:space="0" w:color="auto"/>
              <w:left w:val="single" w:sz="12" w:space="0" w:color="auto"/>
              <w:bottom w:val="nil"/>
              <w:right w:val="nil"/>
            </w:tcBorders>
            <w:shd w:val="clear" w:color="D9E1F2" w:fill="D9E1F2"/>
            <w:noWrap/>
            <w:vAlign w:val="bottom"/>
            <w:hideMark/>
          </w:tcPr>
          <w:p w14:paraId="1656B3A8" w14:textId="1331A457" w:rsidR="000B656B" w:rsidRDefault="000B656B" w:rsidP="000B656B">
            <w:pPr>
              <w:spacing w:line="360" w:lineRule="auto"/>
              <w:rPr>
                <w:rFonts w:ascii="Calibri" w:hAnsi="Calibri" w:cs="Calibri"/>
                <w:b/>
                <w:bCs/>
                <w:color w:val="000000"/>
              </w:rPr>
            </w:pPr>
            <w:proofErr w:type="spellStart"/>
            <w:r>
              <w:rPr>
                <w:rFonts w:ascii="Calibri" w:hAnsi="Calibri" w:cs="Calibri"/>
                <w:b/>
                <w:bCs/>
                <w:color w:val="000000"/>
              </w:rPr>
              <w:t>Payscale</w:t>
            </w:r>
            <w:proofErr w:type="spellEnd"/>
          </w:p>
        </w:tc>
        <w:tc>
          <w:tcPr>
            <w:tcW w:w="725" w:type="dxa"/>
            <w:tcBorders>
              <w:top w:val="single" w:sz="12" w:space="0" w:color="auto"/>
              <w:left w:val="nil"/>
              <w:bottom w:val="nil"/>
              <w:right w:val="nil"/>
            </w:tcBorders>
            <w:shd w:val="clear" w:color="D9E1F2" w:fill="D9E1F2"/>
            <w:noWrap/>
            <w:vAlign w:val="bottom"/>
            <w:hideMark/>
          </w:tcPr>
          <w:p w14:paraId="1736F00D" w14:textId="77777777" w:rsidR="000B656B" w:rsidRDefault="000B656B" w:rsidP="001E25A5">
            <w:pPr>
              <w:spacing w:line="360" w:lineRule="auto"/>
              <w:jc w:val="center"/>
              <w:rPr>
                <w:rFonts w:ascii="Calibri" w:hAnsi="Calibri" w:cs="Calibri"/>
                <w:b/>
                <w:bCs/>
                <w:color w:val="000000"/>
              </w:rPr>
            </w:pPr>
            <w:r>
              <w:rPr>
                <w:rFonts w:ascii="Calibri" w:hAnsi="Calibri" w:cs="Calibri"/>
                <w:b/>
                <w:bCs/>
                <w:color w:val="000000"/>
              </w:rPr>
              <w:t>Male</w:t>
            </w:r>
          </w:p>
        </w:tc>
        <w:tc>
          <w:tcPr>
            <w:tcW w:w="960" w:type="dxa"/>
            <w:tcBorders>
              <w:top w:val="single" w:sz="12" w:space="0" w:color="auto"/>
              <w:left w:val="nil"/>
              <w:bottom w:val="nil"/>
              <w:right w:val="single" w:sz="8" w:space="0" w:color="auto"/>
            </w:tcBorders>
            <w:shd w:val="clear" w:color="D9E1F2" w:fill="D9E1F2"/>
            <w:noWrap/>
            <w:vAlign w:val="bottom"/>
            <w:hideMark/>
          </w:tcPr>
          <w:p w14:paraId="31A3E928" w14:textId="77777777" w:rsidR="000B656B" w:rsidRDefault="000B656B" w:rsidP="001E25A5">
            <w:pPr>
              <w:spacing w:line="360" w:lineRule="auto"/>
              <w:jc w:val="center"/>
              <w:rPr>
                <w:rFonts w:ascii="Calibri" w:hAnsi="Calibri" w:cs="Calibri"/>
                <w:b/>
                <w:bCs/>
                <w:color w:val="000000"/>
              </w:rPr>
            </w:pPr>
            <w:r>
              <w:rPr>
                <w:rFonts w:ascii="Calibri" w:hAnsi="Calibri" w:cs="Calibri"/>
                <w:b/>
                <w:bCs/>
                <w:color w:val="000000"/>
              </w:rPr>
              <w:t>Female</w:t>
            </w:r>
          </w:p>
        </w:tc>
        <w:tc>
          <w:tcPr>
            <w:tcW w:w="960" w:type="dxa"/>
            <w:tcBorders>
              <w:top w:val="single" w:sz="12" w:space="0" w:color="auto"/>
              <w:left w:val="nil"/>
              <w:bottom w:val="nil"/>
              <w:right w:val="single" w:sz="12" w:space="0" w:color="auto"/>
            </w:tcBorders>
            <w:shd w:val="clear" w:color="D9E1F2" w:fill="D9E1F2"/>
          </w:tcPr>
          <w:p w14:paraId="4AEADC38" w14:textId="20317817" w:rsidR="000B656B" w:rsidRDefault="000B656B" w:rsidP="001E25A5">
            <w:pPr>
              <w:spacing w:line="360" w:lineRule="auto"/>
              <w:jc w:val="center"/>
              <w:rPr>
                <w:rFonts w:ascii="Calibri" w:hAnsi="Calibri" w:cs="Calibri"/>
                <w:b/>
                <w:bCs/>
                <w:color w:val="000000"/>
              </w:rPr>
            </w:pPr>
            <w:r>
              <w:rPr>
                <w:rFonts w:ascii="Calibri" w:hAnsi="Calibri" w:cs="Calibri"/>
                <w:b/>
                <w:bCs/>
                <w:color w:val="000000"/>
              </w:rPr>
              <w:t>Total</w:t>
            </w:r>
          </w:p>
        </w:tc>
      </w:tr>
      <w:tr w:rsidR="000B656B" w14:paraId="169DA956" w14:textId="2F0F2BC2" w:rsidTr="00995A1F">
        <w:trPr>
          <w:trHeight w:val="315"/>
        </w:trPr>
        <w:tc>
          <w:tcPr>
            <w:tcW w:w="4546" w:type="dxa"/>
            <w:tcBorders>
              <w:top w:val="nil"/>
              <w:left w:val="single" w:sz="12" w:space="0" w:color="auto"/>
              <w:bottom w:val="nil"/>
              <w:right w:val="nil"/>
            </w:tcBorders>
            <w:shd w:val="clear" w:color="auto" w:fill="auto"/>
            <w:noWrap/>
            <w:vAlign w:val="bottom"/>
            <w:hideMark/>
          </w:tcPr>
          <w:p w14:paraId="0F3F0842" w14:textId="77777777" w:rsidR="000B656B" w:rsidRDefault="000B656B" w:rsidP="000B656B">
            <w:pPr>
              <w:spacing w:line="360" w:lineRule="auto"/>
              <w:rPr>
                <w:rFonts w:ascii="Calibri" w:hAnsi="Calibri" w:cs="Calibri"/>
                <w:color w:val="000000"/>
              </w:rPr>
            </w:pPr>
            <w:r>
              <w:rPr>
                <w:rFonts w:ascii="Calibri" w:hAnsi="Calibri" w:cs="Calibri"/>
                <w:color w:val="000000"/>
              </w:rPr>
              <w:t>Agenda for Change</w:t>
            </w:r>
          </w:p>
        </w:tc>
        <w:tc>
          <w:tcPr>
            <w:tcW w:w="725" w:type="dxa"/>
            <w:tcBorders>
              <w:top w:val="nil"/>
              <w:left w:val="nil"/>
              <w:bottom w:val="nil"/>
              <w:right w:val="nil"/>
            </w:tcBorders>
            <w:shd w:val="clear" w:color="auto" w:fill="auto"/>
            <w:noWrap/>
            <w:vAlign w:val="bottom"/>
            <w:hideMark/>
          </w:tcPr>
          <w:p w14:paraId="002C860D" w14:textId="77777777" w:rsidR="000B656B" w:rsidRDefault="000B656B" w:rsidP="001E25A5">
            <w:pPr>
              <w:spacing w:line="360" w:lineRule="auto"/>
              <w:jc w:val="center"/>
              <w:rPr>
                <w:rFonts w:ascii="Calibri" w:hAnsi="Calibri" w:cs="Calibri"/>
                <w:color w:val="000000"/>
              </w:rPr>
            </w:pPr>
            <w:r>
              <w:rPr>
                <w:rFonts w:ascii="Calibri" w:hAnsi="Calibri" w:cs="Calibri"/>
                <w:color w:val="000000"/>
              </w:rPr>
              <w:t>173</w:t>
            </w:r>
          </w:p>
        </w:tc>
        <w:tc>
          <w:tcPr>
            <w:tcW w:w="960" w:type="dxa"/>
            <w:tcBorders>
              <w:top w:val="nil"/>
              <w:left w:val="nil"/>
              <w:bottom w:val="nil"/>
              <w:right w:val="single" w:sz="8" w:space="0" w:color="auto"/>
            </w:tcBorders>
            <w:shd w:val="clear" w:color="auto" w:fill="auto"/>
            <w:noWrap/>
            <w:vAlign w:val="bottom"/>
            <w:hideMark/>
          </w:tcPr>
          <w:p w14:paraId="471F4B6F" w14:textId="77777777" w:rsidR="000B656B" w:rsidRDefault="000B656B" w:rsidP="001E25A5">
            <w:pPr>
              <w:spacing w:line="360" w:lineRule="auto"/>
              <w:jc w:val="center"/>
              <w:rPr>
                <w:rFonts w:ascii="Calibri" w:hAnsi="Calibri" w:cs="Calibri"/>
                <w:color w:val="000000"/>
              </w:rPr>
            </w:pPr>
            <w:r>
              <w:rPr>
                <w:rFonts w:ascii="Calibri" w:hAnsi="Calibri" w:cs="Calibri"/>
                <w:color w:val="000000"/>
              </w:rPr>
              <w:t>533</w:t>
            </w:r>
          </w:p>
        </w:tc>
        <w:tc>
          <w:tcPr>
            <w:tcW w:w="960" w:type="dxa"/>
            <w:tcBorders>
              <w:top w:val="nil"/>
              <w:left w:val="nil"/>
              <w:bottom w:val="nil"/>
              <w:right w:val="single" w:sz="12" w:space="0" w:color="auto"/>
            </w:tcBorders>
          </w:tcPr>
          <w:p w14:paraId="740E7C07" w14:textId="77194C5D" w:rsidR="000B656B" w:rsidRDefault="000B656B" w:rsidP="001E25A5">
            <w:pPr>
              <w:spacing w:line="360" w:lineRule="auto"/>
              <w:jc w:val="center"/>
              <w:rPr>
                <w:rFonts w:ascii="Calibri" w:hAnsi="Calibri" w:cs="Calibri"/>
                <w:color w:val="000000"/>
              </w:rPr>
            </w:pPr>
            <w:r>
              <w:rPr>
                <w:rFonts w:ascii="Calibri" w:hAnsi="Calibri" w:cs="Calibri"/>
                <w:color w:val="000000"/>
              </w:rPr>
              <w:t>706</w:t>
            </w:r>
          </w:p>
        </w:tc>
      </w:tr>
      <w:tr w:rsidR="000B656B" w14:paraId="475BEF3F" w14:textId="6AB90E7A" w:rsidTr="00995A1F">
        <w:trPr>
          <w:trHeight w:val="315"/>
        </w:trPr>
        <w:tc>
          <w:tcPr>
            <w:tcW w:w="4546" w:type="dxa"/>
            <w:tcBorders>
              <w:top w:val="nil"/>
              <w:left w:val="single" w:sz="12" w:space="0" w:color="auto"/>
              <w:bottom w:val="nil"/>
              <w:right w:val="nil"/>
            </w:tcBorders>
            <w:shd w:val="clear" w:color="auto" w:fill="auto"/>
            <w:noWrap/>
            <w:vAlign w:val="bottom"/>
            <w:hideMark/>
          </w:tcPr>
          <w:p w14:paraId="3975F919" w14:textId="77777777" w:rsidR="000B656B" w:rsidRDefault="000B656B" w:rsidP="000B656B">
            <w:pPr>
              <w:spacing w:line="360" w:lineRule="auto"/>
              <w:rPr>
                <w:rFonts w:ascii="Calibri" w:hAnsi="Calibri" w:cs="Calibri"/>
                <w:color w:val="000000"/>
              </w:rPr>
            </w:pPr>
            <w:r>
              <w:rPr>
                <w:rFonts w:ascii="Calibri" w:hAnsi="Calibri" w:cs="Calibri"/>
                <w:color w:val="000000"/>
              </w:rPr>
              <w:t>Executive Managers Cohort / Band 9</w:t>
            </w:r>
          </w:p>
        </w:tc>
        <w:tc>
          <w:tcPr>
            <w:tcW w:w="725" w:type="dxa"/>
            <w:tcBorders>
              <w:top w:val="nil"/>
              <w:left w:val="nil"/>
              <w:bottom w:val="nil"/>
              <w:right w:val="nil"/>
            </w:tcBorders>
            <w:shd w:val="clear" w:color="auto" w:fill="auto"/>
            <w:noWrap/>
            <w:vAlign w:val="bottom"/>
            <w:hideMark/>
          </w:tcPr>
          <w:p w14:paraId="7DE1F80A" w14:textId="18DABCD3" w:rsidR="000B656B" w:rsidRDefault="005A1824" w:rsidP="001E25A5">
            <w:pPr>
              <w:spacing w:line="360" w:lineRule="auto"/>
              <w:jc w:val="center"/>
              <w:rPr>
                <w:rFonts w:ascii="Calibri" w:hAnsi="Calibri" w:cs="Calibri"/>
                <w:color w:val="000000"/>
              </w:rPr>
            </w:pPr>
            <w:r>
              <w:rPr>
                <w:rFonts w:ascii="Calibri" w:hAnsi="Calibri" w:cs="Calibri"/>
                <w:color w:val="000000"/>
              </w:rPr>
              <w:t>*</w:t>
            </w:r>
          </w:p>
        </w:tc>
        <w:tc>
          <w:tcPr>
            <w:tcW w:w="960" w:type="dxa"/>
            <w:tcBorders>
              <w:top w:val="nil"/>
              <w:left w:val="nil"/>
              <w:bottom w:val="nil"/>
              <w:right w:val="single" w:sz="8" w:space="0" w:color="auto"/>
            </w:tcBorders>
            <w:shd w:val="clear" w:color="auto" w:fill="auto"/>
            <w:noWrap/>
            <w:vAlign w:val="bottom"/>
            <w:hideMark/>
          </w:tcPr>
          <w:p w14:paraId="60F58E2B" w14:textId="51F85422" w:rsidR="000B656B" w:rsidRDefault="005A1824" w:rsidP="001E25A5">
            <w:pPr>
              <w:spacing w:line="360" w:lineRule="auto"/>
              <w:jc w:val="center"/>
              <w:rPr>
                <w:rFonts w:ascii="Calibri" w:hAnsi="Calibri" w:cs="Calibri"/>
                <w:color w:val="000000"/>
              </w:rPr>
            </w:pPr>
            <w:r>
              <w:rPr>
                <w:rFonts w:ascii="Calibri" w:hAnsi="Calibri" w:cs="Calibri"/>
                <w:color w:val="000000"/>
              </w:rPr>
              <w:t>*</w:t>
            </w:r>
          </w:p>
        </w:tc>
        <w:tc>
          <w:tcPr>
            <w:tcW w:w="960" w:type="dxa"/>
            <w:tcBorders>
              <w:top w:val="nil"/>
              <w:left w:val="nil"/>
              <w:bottom w:val="nil"/>
              <w:right w:val="single" w:sz="12" w:space="0" w:color="auto"/>
            </w:tcBorders>
          </w:tcPr>
          <w:p w14:paraId="586D5AED" w14:textId="20938FD0" w:rsidR="000B656B" w:rsidRDefault="000B656B" w:rsidP="001E25A5">
            <w:pPr>
              <w:spacing w:line="360" w:lineRule="auto"/>
              <w:jc w:val="center"/>
              <w:rPr>
                <w:rFonts w:ascii="Calibri" w:hAnsi="Calibri" w:cs="Calibri"/>
                <w:color w:val="000000"/>
              </w:rPr>
            </w:pPr>
            <w:r>
              <w:rPr>
                <w:rFonts w:ascii="Calibri" w:hAnsi="Calibri" w:cs="Calibri"/>
                <w:color w:val="000000"/>
              </w:rPr>
              <w:t>7</w:t>
            </w:r>
          </w:p>
        </w:tc>
      </w:tr>
      <w:tr w:rsidR="000B656B" w14:paraId="1768A5EF" w14:textId="7646128E" w:rsidTr="00995A1F">
        <w:trPr>
          <w:trHeight w:val="315"/>
        </w:trPr>
        <w:tc>
          <w:tcPr>
            <w:tcW w:w="4546" w:type="dxa"/>
            <w:tcBorders>
              <w:top w:val="nil"/>
              <w:left w:val="single" w:sz="12" w:space="0" w:color="auto"/>
              <w:bottom w:val="nil"/>
              <w:right w:val="nil"/>
            </w:tcBorders>
            <w:shd w:val="clear" w:color="auto" w:fill="auto"/>
            <w:noWrap/>
            <w:vAlign w:val="bottom"/>
            <w:hideMark/>
          </w:tcPr>
          <w:p w14:paraId="2CF625BF" w14:textId="77777777" w:rsidR="000B656B" w:rsidRDefault="000B656B" w:rsidP="000B656B">
            <w:pPr>
              <w:spacing w:line="360" w:lineRule="auto"/>
              <w:rPr>
                <w:rFonts w:ascii="Calibri" w:hAnsi="Calibri" w:cs="Calibri"/>
                <w:color w:val="000000"/>
              </w:rPr>
            </w:pPr>
            <w:r>
              <w:rPr>
                <w:rFonts w:ascii="Calibri" w:hAnsi="Calibri" w:cs="Calibri"/>
                <w:color w:val="000000"/>
              </w:rPr>
              <w:t>GP/GDP Ed's, CRUMP and Consultants</w:t>
            </w:r>
          </w:p>
        </w:tc>
        <w:tc>
          <w:tcPr>
            <w:tcW w:w="725" w:type="dxa"/>
            <w:tcBorders>
              <w:top w:val="nil"/>
              <w:left w:val="nil"/>
              <w:bottom w:val="nil"/>
              <w:right w:val="nil"/>
            </w:tcBorders>
            <w:shd w:val="clear" w:color="auto" w:fill="auto"/>
            <w:noWrap/>
            <w:vAlign w:val="bottom"/>
            <w:hideMark/>
          </w:tcPr>
          <w:p w14:paraId="7A12CC67" w14:textId="77777777" w:rsidR="000B656B" w:rsidRDefault="000B656B" w:rsidP="001E25A5">
            <w:pPr>
              <w:spacing w:line="360" w:lineRule="auto"/>
              <w:jc w:val="center"/>
              <w:rPr>
                <w:rFonts w:ascii="Calibri" w:hAnsi="Calibri" w:cs="Calibri"/>
                <w:color w:val="000000"/>
              </w:rPr>
            </w:pPr>
            <w:r>
              <w:rPr>
                <w:rFonts w:ascii="Calibri" w:hAnsi="Calibri" w:cs="Calibri"/>
                <w:color w:val="000000"/>
              </w:rPr>
              <w:t>56</w:t>
            </w:r>
          </w:p>
        </w:tc>
        <w:tc>
          <w:tcPr>
            <w:tcW w:w="960" w:type="dxa"/>
            <w:tcBorders>
              <w:top w:val="nil"/>
              <w:left w:val="nil"/>
              <w:bottom w:val="nil"/>
              <w:right w:val="single" w:sz="8" w:space="0" w:color="auto"/>
            </w:tcBorders>
            <w:shd w:val="clear" w:color="auto" w:fill="auto"/>
            <w:noWrap/>
            <w:vAlign w:val="bottom"/>
            <w:hideMark/>
          </w:tcPr>
          <w:p w14:paraId="3E387837" w14:textId="77777777" w:rsidR="000B656B" w:rsidRDefault="000B656B" w:rsidP="001E25A5">
            <w:pPr>
              <w:spacing w:line="360" w:lineRule="auto"/>
              <w:jc w:val="center"/>
              <w:rPr>
                <w:rFonts w:ascii="Calibri" w:hAnsi="Calibri" w:cs="Calibri"/>
                <w:color w:val="000000"/>
              </w:rPr>
            </w:pPr>
            <w:r>
              <w:rPr>
                <w:rFonts w:ascii="Calibri" w:hAnsi="Calibri" w:cs="Calibri"/>
                <w:color w:val="000000"/>
              </w:rPr>
              <w:t>44</w:t>
            </w:r>
          </w:p>
        </w:tc>
        <w:tc>
          <w:tcPr>
            <w:tcW w:w="960" w:type="dxa"/>
            <w:tcBorders>
              <w:top w:val="nil"/>
              <w:left w:val="nil"/>
              <w:bottom w:val="nil"/>
              <w:right w:val="single" w:sz="12" w:space="0" w:color="auto"/>
            </w:tcBorders>
          </w:tcPr>
          <w:p w14:paraId="7942D754" w14:textId="00B46DAB" w:rsidR="000B656B" w:rsidRDefault="000B656B" w:rsidP="001E25A5">
            <w:pPr>
              <w:spacing w:line="360" w:lineRule="auto"/>
              <w:jc w:val="center"/>
              <w:rPr>
                <w:rFonts w:ascii="Calibri" w:hAnsi="Calibri" w:cs="Calibri"/>
                <w:color w:val="000000"/>
              </w:rPr>
            </w:pPr>
            <w:r>
              <w:rPr>
                <w:rFonts w:ascii="Calibri" w:hAnsi="Calibri" w:cs="Calibri"/>
                <w:color w:val="000000"/>
              </w:rPr>
              <w:t>100</w:t>
            </w:r>
          </w:p>
        </w:tc>
      </w:tr>
      <w:tr w:rsidR="000B656B" w14:paraId="03DA4A71" w14:textId="144BBA90" w:rsidTr="00995A1F">
        <w:trPr>
          <w:trHeight w:val="330"/>
        </w:trPr>
        <w:tc>
          <w:tcPr>
            <w:tcW w:w="4546" w:type="dxa"/>
            <w:tcBorders>
              <w:top w:val="nil"/>
              <w:left w:val="single" w:sz="12" w:space="0" w:color="auto"/>
              <w:bottom w:val="single" w:sz="12" w:space="0" w:color="auto"/>
              <w:right w:val="nil"/>
            </w:tcBorders>
            <w:shd w:val="clear" w:color="D9E1F2" w:fill="D9E1F2"/>
            <w:noWrap/>
            <w:vAlign w:val="bottom"/>
            <w:hideMark/>
          </w:tcPr>
          <w:p w14:paraId="24B26E09" w14:textId="77777777" w:rsidR="000B656B" w:rsidRDefault="000B656B" w:rsidP="000B656B">
            <w:pPr>
              <w:spacing w:line="360" w:lineRule="auto"/>
              <w:rPr>
                <w:rFonts w:ascii="Calibri" w:hAnsi="Calibri" w:cs="Calibri"/>
                <w:b/>
                <w:bCs/>
                <w:color w:val="000000"/>
              </w:rPr>
            </w:pPr>
            <w:r>
              <w:rPr>
                <w:rFonts w:ascii="Calibri" w:hAnsi="Calibri" w:cs="Calibri"/>
                <w:b/>
                <w:bCs/>
                <w:color w:val="000000"/>
              </w:rPr>
              <w:t>Grand Total</w:t>
            </w:r>
          </w:p>
        </w:tc>
        <w:tc>
          <w:tcPr>
            <w:tcW w:w="725" w:type="dxa"/>
            <w:tcBorders>
              <w:top w:val="nil"/>
              <w:left w:val="nil"/>
              <w:bottom w:val="single" w:sz="12" w:space="0" w:color="auto"/>
              <w:right w:val="nil"/>
            </w:tcBorders>
            <w:shd w:val="clear" w:color="D9E1F2" w:fill="D9E1F2"/>
            <w:noWrap/>
            <w:vAlign w:val="bottom"/>
            <w:hideMark/>
          </w:tcPr>
          <w:p w14:paraId="6C340930" w14:textId="77777777" w:rsidR="000B656B" w:rsidRDefault="000B656B" w:rsidP="001E25A5">
            <w:pPr>
              <w:spacing w:line="360" w:lineRule="auto"/>
              <w:jc w:val="center"/>
              <w:rPr>
                <w:rFonts w:ascii="Calibri" w:hAnsi="Calibri" w:cs="Calibri"/>
                <w:b/>
                <w:bCs/>
                <w:color w:val="000000"/>
              </w:rPr>
            </w:pPr>
            <w:r>
              <w:rPr>
                <w:rFonts w:ascii="Calibri" w:hAnsi="Calibri" w:cs="Calibri"/>
                <w:b/>
                <w:bCs/>
                <w:color w:val="000000"/>
              </w:rPr>
              <w:t>232</w:t>
            </w:r>
          </w:p>
        </w:tc>
        <w:tc>
          <w:tcPr>
            <w:tcW w:w="960" w:type="dxa"/>
            <w:tcBorders>
              <w:top w:val="nil"/>
              <w:left w:val="nil"/>
              <w:bottom w:val="single" w:sz="12" w:space="0" w:color="auto"/>
              <w:right w:val="single" w:sz="8" w:space="0" w:color="auto"/>
            </w:tcBorders>
            <w:shd w:val="clear" w:color="D9E1F2" w:fill="D9E1F2"/>
            <w:noWrap/>
            <w:vAlign w:val="bottom"/>
            <w:hideMark/>
          </w:tcPr>
          <w:p w14:paraId="23515FF0" w14:textId="4B7E7A78" w:rsidR="000B656B" w:rsidRDefault="000B656B" w:rsidP="001E25A5">
            <w:pPr>
              <w:spacing w:line="360" w:lineRule="auto"/>
              <w:jc w:val="center"/>
              <w:rPr>
                <w:rFonts w:ascii="Calibri" w:hAnsi="Calibri" w:cs="Calibri"/>
                <w:b/>
                <w:bCs/>
                <w:color w:val="000000"/>
              </w:rPr>
            </w:pPr>
            <w:r>
              <w:rPr>
                <w:rFonts w:ascii="Calibri" w:hAnsi="Calibri" w:cs="Calibri"/>
                <w:b/>
                <w:bCs/>
                <w:color w:val="000000"/>
              </w:rPr>
              <w:t>581</w:t>
            </w:r>
          </w:p>
        </w:tc>
        <w:tc>
          <w:tcPr>
            <w:tcW w:w="960" w:type="dxa"/>
            <w:tcBorders>
              <w:top w:val="nil"/>
              <w:left w:val="nil"/>
              <w:bottom w:val="single" w:sz="12" w:space="0" w:color="auto"/>
              <w:right w:val="single" w:sz="12" w:space="0" w:color="auto"/>
            </w:tcBorders>
            <w:shd w:val="clear" w:color="D9E1F2" w:fill="D9E1F2"/>
          </w:tcPr>
          <w:p w14:paraId="3840E255" w14:textId="3AD12E1B" w:rsidR="000B656B" w:rsidRDefault="000B656B" w:rsidP="001E25A5">
            <w:pPr>
              <w:spacing w:line="360" w:lineRule="auto"/>
              <w:jc w:val="center"/>
              <w:rPr>
                <w:rFonts w:ascii="Calibri" w:hAnsi="Calibri" w:cs="Calibri"/>
                <w:b/>
                <w:bCs/>
                <w:color w:val="000000"/>
              </w:rPr>
            </w:pPr>
            <w:r>
              <w:rPr>
                <w:rFonts w:ascii="Calibri" w:hAnsi="Calibri" w:cs="Calibri"/>
                <w:b/>
                <w:bCs/>
                <w:color w:val="000000"/>
              </w:rPr>
              <w:t>813</w:t>
            </w:r>
          </w:p>
        </w:tc>
      </w:tr>
    </w:tbl>
    <w:p w14:paraId="22371145" w14:textId="76DF0300" w:rsidR="005E7CF8" w:rsidRPr="005A1824" w:rsidRDefault="005E7CF8" w:rsidP="005E7CF8">
      <w:pPr>
        <w:autoSpaceDE w:val="0"/>
        <w:autoSpaceDN w:val="0"/>
        <w:adjustRightInd w:val="0"/>
        <w:spacing w:line="360" w:lineRule="auto"/>
        <w:rPr>
          <w:rFonts w:ascii="Arial" w:eastAsia="Arial" w:hAnsi="Arial" w:cs="Arial"/>
          <w:i/>
          <w:iCs/>
          <w:color w:val="000000" w:themeColor="text1"/>
          <w:sz w:val="20"/>
          <w:szCs w:val="20"/>
        </w:rPr>
      </w:pPr>
      <w:r>
        <w:rPr>
          <w:rFonts w:ascii="Arial" w:eastAsia="Arial" w:hAnsi="Arial" w:cs="Arial"/>
          <w:i/>
          <w:iCs/>
          <w:color w:val="000000" w:themeColor="text1"/>
          <w:sz w:val="20"/>
          <w:szCs w:val="20"/>
        </w:rPr>
        <w:t xml:space="preserve">If the statistical value is less than 5, the number is </w:t>
      </w:r>
      <w:r w:rsidRPr="005A1824">
        <w:rPr>
          <w:rFonts w:ascii="Arial" w:eastAsia="Arial" w:hAnsi="Arial" w:cs="Arial"/>
          <w:i/>
          <w:iCs/>
          <w:color w:val="000000" w:themeColor="text1"/>
          <w:sz w:val="20"/>
          <w:szCs w:val="20"/>
        </w:rPr>
        <w:t>suppressed</w:t>
      </w:r>
      <w:r>
        <w:rPr>
          <w:rFonts w:ascii="Arial" w:eastAsia="Arial" w:hAnsi="Arial" w:cs="Arial"/>
          <w:i/>
          <w:iCs/>
          <w:color w:val="000000" w:themeColor="text1"/>
          <w:sz w:val="20"/>
          <w:szCs w:val="20"/>
        </w:rPr>
        <w:t xml:space="preserve"> and denoted by a * to </w:t>
      </w:r>
      <w:r w:rsidRPr="005A1824">
        <w:rPr>
          <w:rFonts w:ascii="Arial" w:eastAsia="Arial" w:hAnsi="Arial" w:cs="Arial"/>
          <w:i/>
          <w:iCs/>
          <w:color w:val="000000" w:themeColor="text1"/>
          <w:sz w:val="20"/>
          <w:szCs w:val="20"/>
        </w:rPr>
        <w:t>eliminate the risk of identifying individual</w:t>
      </w:r>
      <w:r>
        <w:rPr>
          <w:rFonts w:ascii="Arial" w:eastAsia="Arial" w:hAnsi="Arial" w:cs="Arial"/>
          <w:i/>
          <w:iCs/>
          <w:color w:val="000000" w:themeColor="text1"/>
          <w:sz w:val="20"/>
          <w:szCs w:val="20"/>
        </w:rPr>
        <w:t>s.</w:t>
      </w:r>
    </w:p>
    <w:p w14:paraId="225E96BC" w14:textId="77777777" w:rsidR="005A1824" w:rsidRDefault="005A1824" w:rsidP="00AF0A00">
      <w:pPr>
        <w:autoSpaceDE w:val="0"/>
        <w:autoSpaceDN w:val="0"/>
        <w:adjustRightInd w:val="0"/>
        <w:spacing w:line="360" w:lineRule="auto"/>
        <w:rPr>
          <w:rFonts w:ascii="Arial" w:eastAsia="Arial" w:hAnsi="Arial" w:cs="Arial"/>
          <w:color w:val="000000" w:themeColor="text1"/>
        </w:rPr>
      </w:pPr>
    </w:p>
    <w:p w14:paraId="277FD852" w14:textId="12F5B413" w:rsidR="002B42A4" w:rsidRDefault="00496D0B" w:rsidP="00AF0A00">
      <w:pPr>
        <w:autoSpaceDE w:val="0"/>
        <w:autoSpaceDN w:val="0"/>
        <w:adjustRightInd w:val="0"/>
        <w:spacing w:line="360" w:lineRule="auto"/>
        <w:rPr>
          <w:rFonts w:ascii="Arial" w:eastAsia="Arial" w:hAnsi="Arial" w:cs="Arial"/>
          <w:color w:val="000000" w:themeColor="text1"/>
        </w:rPr>
      </w:pPr>
      <w:r>
        <w:rPr>
          <w:rFonts w:ascii="Arial" w:eastAsia="Arial" w:hAnsi="Arial" w:cs="Arial"/>
          <w:color w:val="000000" w:themeColor="text1"/>
        </w:rPr>
        <w:t>Table</w:t>
      </w:r>
      <w:r w:rsidR="51E9A9B4" w:rsidRPr="51E9A9B4">
        <w:rPr>
          <w:rFonts w:ascii="Arial" w:eastAsia="Arial" w:hAnsi="Arial" w:cs="Arial"/>
          <w:color w:val="000000" w:themeColor="text1"/>
        </w:rPr>
        <w:t xml:space="preserve"> </w:t>
      </w:r>
      <w:r w:rsidR="00FF0A3F">
        <w:rPr>
          <w:rFonts w:ascii="Arial" w:eastAsia="Arial" w:hAnsi="Arial" w:cs="Arial"/>
          <w:color w:val="000000" w:themeColor="text1"/>
        </w:rPr>
        <w:t>4</w:t>
      </w:r>
      <w:r w:rsidR="51E9A9B4" w:rsidRPr="51E9A9B4">
        <w:rPr>
          <w:rFonts w:ascii="Arial" w:eastAsia="Arial" w:hAnsi="Arial" w:cs="Arial"/>
          <w:color w:val="000000" w:themeColor="text1"/>
        </w:rPr>
        <w:t xml:space="preserve"> describes the pattern of vertical gender occupational segregation.</w:t>
      </w:r>
    </w:p>
    <w:p w14:paraId="7709E8E2" w14:textId="523817D8" w:rsidR="006D1D52" w:rsidRDefault="006D1D52" w:rsidP="00AF0A00">
      <w:pPr>
        <w:autoSpaceDE w:val="0"/>
        <w:autoSpaceDN w:val="0"/>
        <w:adjustRightInd w:val="0"/>
        <w:spacing w:line="360" w:lineRule="auto"/>
        <w:rPr>
          <w:rFonts w:ascii="Arial" w:eastAsia="Arial" w:hAnsi="Arial" w:cs="Arial"/>
          <w:color w:val="000000" w:themeColor="text1"/>
        </w:rPr>
      </w:pPr>
    </w:p>
    <w:p w14:paraId="4CF7891E" w14:textId="4F5420F5" w:rsidR="006D1D52" w:rsidRDefault="006D1D52" w:rsidP="00AF0A00">
      <w:pPr>
        <w:autoSpaceDE w:val="0"/>
        <w:autoSpaceDN w:val="0"/>
        <w:adjustRightInd w:val="0"/>
        <w:spacing w:line="360" w:lineRule="auto"/>
        <w:rPr>
          <w:rFonts w:ascii="Arial" w:eastAsia="Arial" w:hAnsi="Arial" w:cs="Arial"/>
          <w:color w:val="000000" w:themeColor="text1"/>
        </w:rPr>
      </w:pPr>
    </w:p>
    <w:p w14:paraId="698147C5" w14:textId="1FAB3892" w:rsidR="006D1D52" w:rsidRDefault="006D1D52" w:rsidP="00AF0A00">
      <w:pPr>
        <w:autoSpaceDE w:val="0"/>
        <w:autoSpaceDN w:val="0"/>
        <w:adjustRightInd w:val="0"/>
        <w:spacing w:line="360" w:lineRule="auto"/>
        <w:rPr>
          <w:rFonts w:ascii="Arial" w:eastAsia="Arial" w:hAnsi="Arial" w:cs="Arial"/>
          <w:color w:val="000000" w:themeColor="text1"/>
        </w:rPr>
      </w:pPr>
    </w:p>
    <w:p w14:paraId="06A5F104" w14:textId="271BCDDE" w:rsidR="006D1D52" w:rsidRDefault="006D1D52" w:rsidP="00AF0A00">
      <w:pPr>
        <w:autoSpaceDE w:val="0"/>
        <w:autoSpaceDN w:val="0"/>
        <w:adjustRightInd w:val="0"/>
        <w:spacing w:line="360" w:lineRule="auto"/>
        <w:rPr>
          <w:rFonts w:ascii="Arial" w:eastAsia="Arial" w:hAnsi="Arial" w:cs="Arial"/>
          <w:color w:val="000000" w:themeColor="text1"/>
        </w:rPr>
      </w:pPr>
    </w:p>
    <w:p w14:paraId="70B585F4" w14:textId="7EE0C657" w:rsidR="006D1D52" w:rsidRDefault="006D1D52" w:rsidP="00AF0A00">
      <w:pPr>
        <w:autoSpaceDE w:val="0"/>
        <w:autoSpaceDN w:val="0"/>
        <w:adjustRightInd w:val="0"/>
        <w:spacing w:line="360" w:lineRule="auto"/>
        <w:rPr>
          <w:rFonts w:ascii="Arial" w:eastAsia="Arial" w:hAnsi="Arial" w:cs="Arial"/>
          <w:color w:val="000000" w:themeColor="text1"/>
        </w:rPr>
      </w:pPr>
    </w:p>
    <w:p w14:paraId="1025FC9B" w14:textId="1C5889AC" w:rsidR="006D1D52" w:rsidRDefault="006D1D52" w:rsidP="00AF0A00">
      <w:pPr>
        <w:autoSpaceDE w:val="0"/>
        <w:autoSpaceDN w:val="0"/>
        <w:adjustRightInd w:val="0"/>
        <w:spacing w:line="360" w:lineRule="auto"/>
        <w:rPr>
          <w:rFonts w:ascii="Arial" w:eastAsia="Arial" w:hAnsi="Arial" w:cs="Arial"/>
          <w:color w:val="000000" w:themeColor="text1"/>
        </w:rPr>
      </w:pPr>
    </w:p>
    <w:p w14:paraId="0BA64A47" w14:textId="057C4184" w:rsidR="006D1D52" w:rsidRDefault="006D1D52" w:rsidP="00AF0A00">
      <w:pPr>
        <w:autoSpaceDE w:val="0"/>
        <w:autoSpaceDN w:val="0"/>
        <w:adjustRightInd w:val="0"/>
        <w:spacing w:line="360" w:lineRule="auto"/>
        <w:rPr>
          <w:rFonts w:ascii="Arial" w:eastAsia="Arial" w:hAnsi="Arial" w:cs="Arial"/>
          <w:color w:val="000000" w:themeColor="text1"/>
        </w:rPr>
      </w:pPr>
    </w:p>
    <w:p w14:paraId="0AEA0F84" w14:textId="77777777" w:rsidR="006D1D52" w:rsidRDefault="006D1D52" w:rsidP="00AF0A00">
      <w:pPr>
        <w:autoSpaceDE w:val="0"/>
        <w:autoSpaceDN w:val="0"/>
        <w:adjustRightInd w:val="0"/>
        <w:spacing w:line="360" w:lineRule="auto"/>
        <w:rPr>
          <w:rFonts w:ascii="Arial" w:eastAsia="Arial" w:hAnsi="Arial" w:cs="Arial"/>
          <w:color w:val="000000" w:themeColor="text1"/>
        </w:rPr>
      </w:pPr>
    </w:p>
    <w:p w14:paraId="277FD854" w14:textId="7B786929" w:rsidR="002B42A4" w:rsidRDefault="00496D0B" w:rsidP="00AF0A00">
      <w:pPr>
        <w:autoSpaceDE w:val="0"/>
        <w:autoSpaceDN w:val="0"/>
        <w:adjustRightInd w:val="0"/>
        <w:spacing w:line="360" w:lineRule="auto"/>
        <w:rPr>
          <w:rFonts w:ascii="Arial" w:hAnsi="Arial" w:cs="Arial"/>
          <w:color w:val="000000"/>
        </w:rPr>
      </w:pPr>
      <w:r>
        <w:rPr>
          <w:rFonts w:ascii="Arial" w:hAnsi="Arial" w:cs="Arial"/>
          <w:color w:val="000000"/>
        </w:rPr>
        <w:lastRenderedPageBreak/>
        <w:t>Table</w:t>
      </w:r>
      <w:r w:rsidR="00972E4A">
        <w:rPr>
          <w:rFonts w:ascii="Arial" w:hAnsi="Arial" w:cs="Arial"/>
          <w:color w:val="000000"/>
        </w:rPr>
        <w:t xml:space="preserve"> </w:t>
      </w:r>
      <w:r w:rsidR="00EA157D">
        <w:rPr>
          <w:rFonts w:ascii="Arial" w:hAnsi="Arial" w:cs="Arial"/>
          <w:color w:val="000000"/>
        </w:rPr>
        <w:t>4: Gender by grade</w:t>
      </w:r>
    </w:p>
    <w:tbl>
      <w:tblPr>
        <w:tblW w:w="7560" w:type="dxa"/>
        <w:tblLook w:val="04A0" w:firstRow="1" w:lastRow="0" w:firstColumn="1" w:lastColumn="0" w:noHBand="0" w:noVBand="1"/>
      </w:tblPr>
      <w:tblGrid>
        <w:gridCol w:w="3720"/>
        <w:gridCol w:w="960"/>
        <w:gridCol w:w="960"/>
        <w:gridCol w:w="960"/>
        <w:gridCol w:w="960"/>
      </w:tblGrid>
      <w:tr w:rsidR="00175583" w14:paraId="5772EF1E" w14:textId="77777777" w:rsidTr="00C941E1">
        <w:trPr>
          <w:trHeight w:val="330"/>
        </w:trPr>
        <w:tc>
          <w:tcPr>
            <w:tcW w:w="3720" w:type="dxa"/>
            <w:vMerge w:val="restart"/>
            <w:tcBorders>
              <w:top w:val="single" w:sz="12" w:space="0" w:color="auto"/>
              <w:left w:val="single" w:sz="12" w:space="0" w:color="auto"/>
              <w:right w:val="single" w:sz="8" w:space="0" w:color="auto"/>
            </w:tcBorders>
            <w:shd w:val="clear" w:color="D9E1F2" w:fill="D9E1F2"/>
            <w:noWrap/>
            <w:hideMark/>
          </w:tcPr>
          <w:p w14:paraId="482C53D1" w14:textId="77777777" w:rsidR="00175583" w:rsidRDefault="00175583" w:rsidP="00175583">
            <w:pPr>
              <w:rPr>
                <w:rFonts w:ascii="Calibri" w:hAnsi="Calibri" w:cs="Calibri"/>
                <w:b/>
                <w:bCs/>
                <w:color w:val="000000"/>
                <w:sz w:val="22"/>
                <w:szCs w:val="22"/>
              </w:rPr>
            </w:pPr>
            <w:r>
              <w:rPr>
                <w:rFonts w:ascii="Calibri" w:hAnsi="Calibri" w:cs="Calibri"/>
                <w:b/>
                <w:bCs/>
                <w:color w:val="000000"/>
                <w:sz w:val="22"/>
                <w:szCs w:val="22"/>
              </w:rPr>
              <w:t> </w:t>
            </w:r>
          </w:p>
          <w:p w14:paraId="5A743E1C" w14:textId="679842A7" w:rsidR="00175583" w:rsidRDefault="00175583" w:rsidP="00175583">
            <w:pPr>
              <w:rPr>
                <w:rFonts w:ascii="Calibri" w:hAnsi="Calibri" w:cs="Calibri"/>
                <w:b/>
                <w:bCs/>
                <w:color w:val="000000"/>
                <w:sz w:val="22"/>
                <w:szCs w:val="22"/>
              </w:rPr>
            </w:pPr>
            <w:r>
              <w:rPr>
                <w:rFonts w:ascii="Calibri" w:hAnsi="Calibri" w:cs="Calibri"/>
                <w:b/>
                <w:bCs/>
                <w:color w:val="000000"/>
                <w:sz w:val="22"/>
                <w:szCs w:val="22"/>
              </w:rPr>
              <w:t>Grade</w:t>
            </w:r>
          </w:p>
        </w:tc>
        <w:tc>
          <w:tcPr>
            <w:tcW w:w="1920" w:type="dxa"/>
            <w:gridSpan w:val="2"/>
            <w:tcBorders>
              <w:top w:val="single" w:sz="12" w:space="0" w:color="auto"/>
              <w:left w:val="nil"/>
              <w:bottom w:val="nil"/>
              <w:right w:val="single" w:sz="8" w:space="0" w:color="000000"/>
            </w:tcBorders>
            <w:shd w:val="clear" w:color="D9E1F2" w:fill="D9E1F2"/>
            <w:noWrap/>
            <w:vAlign w:val="bottom"/>
            <w:hideMark/>
          </w:tcPr>
          <w:p w14:paraId="387FAE2F" w14:textId="77777777" w:rsidR="00175583" w:rsidRDefault="00175583">
            <w:pPr>
              <w:jc w:val="center"/>
              <w:rPr>
                <w:rFonts w:ascii="Calibri" w:hAnsi="Calibri" w:cs="Calibri"/>
                <w:b/>
                <w:bCs/>
                <w:color w:val="000000"/>
                <w:sz w:val="22"/>
                <w:szCs w:val="22"/>
              </w:rPr>
            </w:pPr>
            <w:r>
              <w:rPr>
                <w:rFonts w:ascii="Calibri" w:hAnsi="Calibri" w:cs="Calibri"/>
                <w:b/>
                <w:bCs/>
                <w:color w:val="000000"/>
                <w:sz w:val="22"/>
                <w:szCs w:val="22"/>
              </w:rPr>
              <w:t>Male</w:t>
            </w:r>
          </w:p>
        </w:tc>
        <w:tc>
          <w:tcPr>
            <w:tcW w:w="1920" w:type="dxa"/>
            <w:gridSpan w:val="2"/>
            <w:tcBorders>
              <w:top w:val="single" w:sz="12" w:space="0" w:color="auto"/>
              <w:left w:val="nil"/>
              <w:bottom w:val="nil"/>
              <w:right w:val="single" w:sz="12" w:space="0" w:color="auto"/>
            </w:tcBorders>
            <w:shd w:val="clear" w:color="D9E1F2" w:fill="D9E1F2"/>
            <w:noWrap/>
            <w:vAlign w:val="bottom"/>
            <w:hideMark/>
          </w:tcPr>
          <w:p w14:paraId="154A1E23" w14:textId="77777777" w:rsidR="00175583" w:rsidRDefault="00175583">
            <w:pPr>
              <w:jc w:val="center"/>
              <w:rPr>
                <w:rFonts w:ascii="Calibri" w:hAnsi="Calibri" w:cs="Calibri"/>
                <w:b/>
                <w:bCs/>
                <w:color w:val="000000"/>
                <w:sz w:val="22"/>
                <w:szCs w:val="22"/>
              </w:rPr>
            </w:pPr>
            <w:r>
              <w:rPr>
                <w:rFonts w:ascii="Calibri" w:hAnsi="Calibri" w:cs="Calibri"/>
                <w:b/>
                <w:bCs/>
                <w:color w:val="000000"/>
                <w:sz w:val="22"/>
                <w:szCs w:val="22"/>
              </w:rPr>
              <w:t>Female</w:t>
            </w:r>
          </w:p>
        </w:tc>
      </w:tr>
      <w:tr w:rsidR="00175583" w14:paraId="0540F480" w14:textId="77777777" w:rsidTr="007D01AC">
        <w:trPr>
          <w:trHeight w:val="330"/>
        </w:trPr>
        <w:tc>
          <w:tcPr>
            <w:tcW w:w="3720" w:type="dxa"/>
            <w:vMerge/>
            <w:tcBorders>
              <w:left w:val="single" w:sz="12" w:space="0" w:color="auto"/>
              <w:bottom w:val="single" w:sz="4" w:space="0" w:color="8EA9DB"/>
              <w:right w:val="single" w:sz="8" w:space="0" w:color="auto"/>
            </w:tcBorders>
            <w:shd w:val="clear" w:color="D9E1F2" w:fill="D9E1F2"/>
            <w:noWrap/>
            <w:vAlign w:val="bottom"/>
            <w:hideMark/>
          </w:tcPr>
          <w:p w14:paraId="6F4C39E5" w14:textId="47115E5D" w:rsidR="00175583" w:rsidRDefault="00175583">
            <w:pPr>
              <w:rPr>
                <w:rFonts w:ascii="Calibri" w:hAnsi="Calibri" w:cs="Calibri"/>
                <w:b/>
                <w:bCs/>
                <w:color w:val="000000"/>
                <w:sz w:val="22"/>
                <w:szCs w:val="22"/>
              </w:rPr>
            </w:pPr>
          </w:p>
        </w:tc>
        <w:tc>
          <w:tcPr>
            <w:tcW w:w="960" w:type="dxa"/>
            <w:tcBorders>
              <w:top w:val="nil"/>
              <w:left w:val="nil"/>
              <w:bottom w:val="single" w:sz="4" w:space="0" w:color="8EA9DB"/>
              <w:right w:val="nil"/>
            </w:tcBorders>
            <w:shd w:val="clear" w:color="D9E1F2" w:fill="D9E1F2"/>
            <w:noWrap/>
            <w:vAlign w:val="bottom"/>
            <w:hideMark/>
          </w:tcPr>
          <w:p w14:paraId="5A560AE3" w14:textId="77777777" w:rsidR="00175583" w:rsidRDefault="00175583">
            <w:pPr>
              <w:jc w:val="center"/>
              <w:rPr>
                <w:rFonts w:ascii="Calibri" w:hAnsi="Calibri" w:cs="Calibri"/>
                <w:b/>
                <w:bCs/>
                <w:color w:val="000000"/>
                <w:sz w:val="22"/>
                <w:szCs w:val="22"/>
              </w:rPr>
            </w:pPr>
            <w:r>
              <w:rPr>
                <w:rFonts w:ascii="Calibri" w:hAnsi="Calibri" w:cs="Calibri"/>
                <w:b/>
                <w:bCs/>
                <w:color w:val="000000"/>
                <w:sz w:val="22"/>
                <w:szCs w:val="22"/>
              </w:rPr>
              <w:t>N</w:t>
            </w:r>
          </w:p>
        </w:tc>
        <w:tc>
          <w:tcPr>
            <w:tcW w:w="960" w:type="dxa"/>
            <w:tcBorders>
              <w:top w:val="nil"/>
              <w:left w:val="nil"/>
              <w:bottom w:val="single" w:sz="4" w:space="0" w:color="8EA9DB"/>
              <w:right w:val="single" w:sz="8" w:space="0" w:color="auto"/>
            </w:tcBorders>
            <w:shd w:val="clear" w:color="D9E1F2" w:fill="D9E1F2"/>
            <w:noWrap/>
            <w:vAlign w:val="bottom"/>
            <w:hideMark/>
          </w:tcPr>
          <w:p w14:paraId="31EC9AAE" w14:textId="77777777" w:rsidR="00175583" w:rsidRDefault="00175583">
            <w:pPr>
              <w:jc w:val="center"/>
              <w:rPr>
                <w:rFonts w:ascii="Calibri" w:hAnsi="Calibri" w:cs="Calibri"/>
                <w:b/>
                <w:bCs/>
                <w:color w:val="000000"/>
                <w:sz w:val="22"/>
                <w:szCs w:val="22"/>
              </w:rPr>
            </w:pPr>
            <w:r>
              <w:rPr>
                <w:rFonts w:ascii="Calibri" w:hAnsi="Calibri" w:cs="Calibri"/>
                <w:b/>
                <w:bCs/>
                <w:color w:val="000000"/>
                <w:sz w:val="22"/>
                <w:szCs w:val="22"/>
              </w:rPr>
              <w:t>%</w:t>
            </w:r>
          </w:p>
        </w:tc>
        <w:tc>
          <w:tcPr>
            <w:tcW w:w="960" w:type="dxa"/>
            <w:tcBorders>
              <w:top w:val="nil"/>
              <w:left w:val="nil"/>
              <w:bottom w:val="single" w:sz="4" w:space="0" w:color="8EA9DB"/>
              <w:right w:val="nil"/>
            </w:tcBorders>
            <w:shd w:val="clear" w:color="D9E1F2" w:fill="D9E1F2"/>
            <w:noWrap/>
            <w:vAlign w:val="bottom"/>
            <w:hideMark/>
          </w:tcPr>
          <w:p w14:paraId="5CF6D47C" w14:textId="77777777" w:rsidR="00175583" w:rsidRDefault="00175583">
            <w:pPr>
              <w:jc w:val="center"/>
              <w:rPr>
                <w:rFonts w:ascii="Calibri" w:hAnsi="Calibri" w:cs="Calibri"/>
                <w:b/>
                <w:bCs/>
                <w:color w:val="000000"/>
                <w:sz w:val="22"/>
                <w:szCs w:val="22"/>
              </w:rPr>
            </w:pPr>
            <w:r>
              <w:rPr>
                <w:rFonts w:ascii="Calibri" w:hAnsi="Calibri" w:cs="Calibri"/>
                <w:b/>
                <w:bCs/>
                <w:color w:val="000000"/>
                <w:sz w:val="22"/>
                <w:szCs w:val="22"/>
              </w:rPr>
              <w:t>N</w:t>
            </w:r>
          </w:p>
        </w:tc>
        <w:tc>
          <w:tcPr>
            <w:tcW w:w="960" w:type="dxa"/>
            <w:tcBorders>
              <w:top w:val="nil"/>
              <w:left w:val="nil"/>
              <w:bottom w:val="single" w:sz="4" w:space="0" w:color="8EA9DB"/>
              <w:right w:val="single" w:sz="12" w:space="0" w:color="auto"/>
            </w:tcBorders>
            <w:shd w:val="clear" w:color="D9E1F2" w:fill="D9E1F2"/>
            <w:noWrap/>
            <w:vAlign w:val="bottom"/>
            <w:hideMark/>
          </w:tcPr>
          <w:p w14:paraId="044279A2" w14:textId="77777777" w:rsidR="00175583" w:rsidRDefault="00175583">
            <w:pPr>
              <w:jc w:val="center"/>
              <w:rPr>
                <w:rFonts w:ascii="Calibri" w:hAnsi="Calibri" w:cs="Calibri"/>
                <w:b/>
                <w:bCs/>
                <w:color w:val="000000"/>
                <w:sz w:val="22"/>
                <w:szCs w:val="22"/>
              </w:rPr>
            </w:pPr>
            <w:r>
              <w:rPr>
                <w:rFonts w:ascii="Calibri" w:hAnsi="Calibri" w:cs="Calibri"/>
                <w:b/>
                <w:bCs/>
                <w:color w:val="000000"/>
                <w:sz w:val="22"/>
                <w:szCs w:val="22"/>
              </w:rPr>
              <w:t>%</w:t>
            </w:r>
          </w:p>
        </w:tc>
      </w:tr>
      <w:tr w:rsidR="00BC0A11" w14:paraId="64DA721B" w14:textId="77777777" w:rsidTr="00BC0A11">
        <w:trPr>
          <w:trHeight w:val="330"/>
        </w:trPr>
        <w:tc>
          <w:tcPr>
            <w:tcW w:w="3720" w:type="dxa"/>
            <w:tcBorders>
              <w:top w:val="nil"/>
              <w:left w:val="single" w:sz="12" w:space="0" w:color="auto"/>
              <w:bottom w:val="nil"/>
              <w:right w:val="single" w:sz="8" w:space="0" w:color="auto"/>
            </w:tcBorders>
            <w:shd w:val="clear" w:color="auto" w:fill="auto"/>
            <w:noWrap/>
            <w:vAlign w:val="bottom"/>
            <w:hideMark/>
          </w:tcPr>
          <w:p w14:paraId="27F09244" w14:textId="77777777" w:rsidR="00BC0A11" w:rsidRDefault="00BC0A11">
            <w:pPr>
              <w:rPr>
                <w:rFonts w:ascii="Calibri" w:hAnsi="Calibri" w:cs="Calibri"/>
                <w:color w:val="000000"/>
                <w:sz w:val="22"/>
                <w:szCs w:val="22"/>
              </w:rPr>
            </w:pPr>
            <w:r>
              <w:rPr>
                <w:rFonts w:ascii="Calibri" w:hAnsi="Calibri" w:cs="Calibri"/>
                <w:color w:val="000000"/>
                <w:sz w:val="22"/>
                <w:szCs w:val="22"/>
              </w:rPr>
              <w:t>Band 2.</w:t>
            </w:r>
          </w:p>
        </w:tc>
        <w:tc>
          <w:tcPr>
            <w:tcW w:w="960" w:type="dxa"/>
            <w:tcBorders>
              <w:top w:val="nil"/>
              <w:left w:val="nil"/>
              <w:bottom w:val="nil"/>
              <w:right w:val="nil"/>
            </w:tcBorders>
            <w:shd w:val="clear" w:color="auto" w:fill="auto"/>
            <w:noWrap/>
            <w:vAlign w:val="bottom"/>
            <w:hideMark/>
          </w:tcPr>
          <w:p w14:paraId="53280448"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w:t>
            </w:r>
          </w:p>
        </w:tc>
        <w:tc>
          <w:tcPr>
            <w:tcW w:w="960" w:type="dxa"/>
            <w:tcBorders>
              <w:top w:val="nil"/>
              <w:left w:val="nil"/>
              <w:bottom w:val="nil"/>
              <w:right w:val="single" w:sz="8" w:space="0" w:color="auto"/>
            </w:tcBorders>
            <w:shd w:val="clear" w:color="auto" w:fill="auto"/>
            <w:noWrap/>
            <w:vAlign w:val="bottom"/>
            <w:hideMark/>
          </w:tcPr>
          <w:p w14:paraId="4139263B"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10.0%</w:t>
            </w:r>
          </w:p>
        </w:tc>
        <w:tc>
          <w:tcPr>
            <w:tcW w:w="960" w:type="dxa"/>
            <w:tcBorders>
              <w:top w:val="nil"/>
              <w:left w:val="nil"/>
              <w:bottom w:val="nil"/>
              <w:right w:val="nil"/>
            </w:tcBorders>
            <w:shd w:val="clear" w:color="auto" w:fill="auto"/>
            <w:noWrap/>
            <w:vAlign w:val="bottom"/>
            <w:hideMark/>
          </w:tcPr>
          <w:p w14:paraId="487C8ABD"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9</w:t>
            </w:r>
          </w:p>
        </w:tc>
        <w:tc>
          <w:tcPr>
            <w:tcW w:w="960" w:type="dxa"/>
            <w:tcBorders>
              <w:top w:val="nil"/>
              <w:left w:val="nil"/>
              <w:bottom w:val="nil"/>
              <w:right w:val="single" w:sz="12" w:space="0" w:color="auto"/>
            </w:tcBorders>
            <w:shd w:val="clear" w:color="auto" w:fill="auto"/>
            <w:noWrap/>
            <w:vAlign w:val="bottom"/>
            <w:hideMark/>
          </w:tcPr>
          <w:p w14:paraId="6CE33E50"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90.0%</w:t>
            </w:r>
          </w:p>
        </w:tc>
      </w:tr>
      <w:tr w:rsidR="00BC0A11" w14:paraId="57A82638" w14:textId="77777777" w:rsidTr="00BC0A11">
        <w:trPr>
          <w:trHeight w:val="315"/>
        </w:trPr>
        <w:tc>
          <w:tcPr>
            <w:tcW w:w="3720" w:type="dxa"/>
            <w:tcBorders>
              <w:top w:val="nil"/>
              <w:left w:val="single" w:sz="12" w:space="0" w:color="auto"/>
              <w:bottom w:val="nil"/>
              <w:right w:val="single" w:sz="8" w:space="0" w:color="auto"/>
            </w:tcBorders>
            <w:shd w:val="clear" w:color="auto" w:fill="auto"/>
            <w:noWrap/>
            <w:vAlign w:val="bottom"/>
            <w:hideMark/>
          </w:tcPr>
          <w:p w14:paraId="2B585724" w14:textId="77777777" w:rsidR="00BC0A11" w:rsidRDefault="00BC0A11">
            <w:pPr>
              <w:rPr>
                <w:rFonts w:ascii="Calibri" w:hAnsi="Calibri" w:cs="Calibri"/>
                <w:color w:val="000000"/>
                <w:sz w:val="22"/>
                <w:szCs w:val="22"/>
              </w:rPr>
            </w:pPr>
            <w:r>
              <w:rPr>
                <w:rFonts w:ascii="Calibri" w:hAnsi="Calibri" w:cs="Calibri"/>
                <w:color w:val="000000"/>
                <w:sz w:val="22"/>
                <w:szCs w:val="22"/>
              </w:rPr>
              <w:t>Band 3.</w:t>
            </w:r>
          </w:p>
        </w:tc>
        <w:tc>
          <w:tcPr>
            <w:tcW w:w="960" w:type="dxa"/>
            <w:tcBorders>
              <w:top w:val="nil"/>
              <w:left w:val="nil"/>
              <w:bottom w:val="nil"/>
              <w:right w:val="nil"/>
            </w:tcBorders>
            <w:shd w:val="clear" w:color="auto" w:fill="auto"/>
            <w:noWrap/>
            <w:vAlign w:val="bottom"/>
            <w:hideMark/>
          </w:tcPr>
          <w:p w14:paraId="7713D80A"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14</w:t>
            </w:r>
          </w:p>
        </w:tc>
        <w:tc>
          <w:tcPr>
            <w:tcW w:w="960" w:type="dxa"/>
            <w:tcBorders>
              <w:top w:val="nil"/>
              <w:left w:val="nil"/>
              <w:bottom w:val="nil"/>
              <w:right w:val="single" w:sz="8" w:space="0" w:color="auto"/>
            </w:tcBorders>
            <w:shd w:val="clear" w:color="auto" w:fill="auto"/>
            <w:noWrap/>
            <w:vAlign w:val="bottom"/>
            <w:hideMark/>
          </w:tcPr>
          <w:p w14:paraId="4F540147"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19.2%</w:t>
            </w:r>
          </w:p>
        </w:tc>
        <w:tc>
          <w:tcPr>
            <w:tcW w:w="960" w:type="dxa"/>
            <w:tcBorders>
              <w:top w:val="nil"/>
              <w:left w:val="nil"/>
              <w:bottom w:val="nil"/>
              <w:right w:val="nil"/>
            </w:tcBorders>
            <w:shd w:val="clear" w:color="auto" w:fill="auto"/>
            <w:noWrap/>
            <w:vAlign w:val="bottom"/>
            <w:hideMark/>
          </w:tcPr>
          <w:p w14:paraId="64C1CE31"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59</w:t>
            </w:r>
          </w:p>
        </w:tc>
        <w:tc>
          <w:tcPr>
            <w:tcW w:w="960" w:type="dxa"/>
            <w:tcBorders>
              <w:top w:val="nil"/>
              <w:left w:val="nil"/>
              <w:bottom w:val="nil"/>
              <w:right w:val="single" w:sz="12" w:space="0" w:color="auto"/>
            </w:tcBorders>
            <w:shd w:val="clear" w:color="auto" w:fill="auto"/>
            <w:noWrap/>
            <w:vAlign w:val="bottom"/>
            <w:hideMark/>
          </w:tcPr>
          <w:p w14:paraId="7A101FFD"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80.8%</w:t>
            </w:r>
          </w:p>
        </w:tc>
      </w:tr>
      <w:tr w:rsidR="00BC0A11" w14:paraId="78E934C5" w14:textId="77777777" w:rsidTr="00BC0A11">
        <w:trPr>
          <w:trHeight w:val="315"/>
        </w:trPr>
        <w:tc>
          <w:tcPr>
            <w:tcW w:w="3720" w:type="dxa"/>
            <w:tcBorders>
              <w:top w:val="nil"/>
              <w:left w:val="single" w:sz="12" w:space="0" w:color="auto"/>
              <w:bottom w:val="nil"/>
              <w:right w:val="single" w:sz="8" w:space="0" w:color="auto"/>
            </w:tcBorders>
            <w:shd w:val="clear" w:color="auto" w:fill="auto"/>
            <w:noWrap/>
            <w:vAlign w:val="bottom"/>
            <w:hideMark/>
          </w:tcPr>
          <w:p w14:paraId="68CF0F2E" w14:textId="77777777" w:rsidR="00BC0A11" w:rsidRDefault="00BC0A11">
            <w:pPr>
              <w:rPr>
                <w:rFonts w:ascii="Calibri" w:hAnsi="Calibri" w:cs="Calibri"/>
                <w:color w:val="000000"/>
                <w:sz w:val="22"/>
                <w:szCs w:val="22"/>
              </w:rPr>
            </w:pPr>
            <w:r>
              <w:rPr>
                <w:rFonts w:ascii="Calibri" w:hAnsi="Calibri" w:cs="Calibri"/>
                <w:color w:val="000000"/>
                <w:sz w:val="22"/>
                <w:szCs w:val="22"/>
              </w:rPr>
              <w:t>Band 4.</w:t>
            </w:r>
          </w:p>
        </w:tc>
        <w:tc>
          <w:tcPr>
            <w:tcW w:w="960" w:type="dxa"/>
            <w:tcBorders>
              <w:top w:val="nil"/>
              <w:left w:val="nil"/>
              <w:bottom w:val="nil"/>
              <w:right w:val="nil"/>
            </w:tcBorders>
            <w:shd w:val="clear" w:color="auto" w:fill="auto"/>
            <w:noWrap/>
            <w:vAlign w:val="bottom"/>
            <w:hideMark/>
          </w:tcPr>
          <w:p w14:paraId="6A863392"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21</w:t>
            </w:r>
          </w:p>
        </w:tc>
        <w:tc>
          <w:tcPr>
            <w:tcW w:w="960" w:type="dxa"/>
            <w:tcBorders>
              <w:top w:val="nil"/>
              <w:left w:val="nil"/>
              <w:bottom w:val="nil"/>
              <w:right w:val="single" w:sz="8" w:space="0" w:color="auto"/>
            </w:tcBorders>
            <w:shd w:val="clear" w:color="auto" w:fill="auto"/>
            <w:noWrap/>
            <w:vAlign w:val="bottom"/>
            <w:hideMark/>
          </w:tcPr>
          <w:p w14:paraId="39755C67"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17.8%</w:t>
            </w:r>
          </w:p>
        </w:tc>
        <w:tc>
          <w:tcPr>
            <w:tcW w:w="960" w:type="dxa"/>
            <w:tcBorders>
              <w:top w:val="nil"/>
              <w:left w:val="nil"/>
              <w:bottom w:val="nil"/>
              <w:right w:val="nil"/>
            </w:tcBorders>
            <w:shd w:val="clear" w:color="auto" w:fill="auto"/>
            <w:noWrap/>
            <w:vAlign w:val="bottom"/>
            <w:hideMark/>
          </w:tcPr>
          <w:p w14:paraId="6666B8A0"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97</w:t>
            </w:r>
          </w:p>
        </w:tc>
        <w:tc>
          <w:tcPr>
            <w:tcW w:w="960" w:type="dxa"/>
            <w:tcBorders>
              <w:top w:val="nil"/>
              <w:left w:val="nil"/>
              <w:bottom w:val="nil"/>
              <w:right w:val="single" w:sz="12" w:space="0" w:color="auto"/>
            </w:tcBorders>
            <w:shd w:val="clear" w:color="auto" w:fill="auto"/>
            <w:noWrap/>
            <w:vAlign w:val="bottom"/>
            <w:hideMark/>
          </w:tcPr>
          <w:p w14:paraId="0DC5D0D5"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82.2%</w:t>
            </w:r>
          </w:p>
        </w:tc>
      </w:tr>
      <w:tr w:rsidR="00BC0A11" w14:paraId="4E79AF5A" w14:textId="77777777" w:rsidTr="00BC0A11">
        <w:trPr>
          <w:trHeight w:val="315"/>
        </w:trPr>
        <w:tc>
          <w:tcPr>
            <w:tcW w:w="3720" w:type="dxa"/>
            <w:tcBorders>
              <w:top w:val="nil"/>
              <w:left w:val="single" w:sz="12" w:space="0" w:color="auto"/>
              <w:bottom w:val="nil"/>
              <w:right w:val="single" w:sz="8" w:space="0" w:color="auto"/>
            </w:tcBorders>
            <w:shd w:val="clear" w:color="auto" w:fill="auto"/>
            <w:noWrap/>
            <w:vAlign w:val="bottom"/>
            <w:hideMark/>
          </w:tcPr>
          <w:p w14:paraId="259A6F04" w14:textId="77777777" w:rsidR="00BC0A11" w:rsidRDefault="00BC0A11">
            <w:pPr>
              <w:rPr>
                <w:rFonts w:ascii="Calibri" w:hAnsi="Calibri" w:cs="Calibri"/>
                <w:color w:val="000000"/>
                <w:sz w:val="22"/>
                <w:szCs w:val="22"/>
              </w:rPr>
            </w:pPr>
            <w:r>
              <w:rPr>
                <w:rFonts w:ascii="Calibri" w:hAnsi="Calibri" w:cs="Calibri"/>
                <w:color w:val="000000"/>
                <w:sz w:val="22"/>
                <w:szCs w:val="22"/>
              </w:rPr>
              <w:t>Band 5.</w:t>
            </w:r>
          </w:p>
        </w:tc>
        <w:tc>
          <w:tcPr>
            <w:tcW w:w="960" w:type="dxa"/>
            <w:tcBorders>
              <w:top w:val="nil"/>
              <w:left w:val="nil"/>
              <w:bottom w:val="nil"/>
              <w:right w:val="nil"/>
            </w:tcBorders>
            <w:shd w:val="clear" w:color="auto" w:fill="auto"/>
            <w:noWrap/>
            <w:vAlign w:val="bottom"/>
            <w:hideMark/>
          </w:tcPr>
          <w:p w14:paraId="30A1B343"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19</w:t>
            </w:r>
          </w:p>
        </w:tc>
        <w:tc>
          <w:tcPr>
            <w:tcW w:w="960" w:type="dxa"/>
            <w:tcBorders>
              <w:top w:val="nil"/>
              <w:left w:val="nil"/>
              <w:bottom w:val="nil"/>
              <w:right w:val="single" w:sz="8" w:space="0" w:color="auto"/>
            </w:tcBorders>
            <w:shd w:val="clear" w:color="auto" w:fill="auto"/>
            <w:noWrap/>
            <w:vAlign w:val="bottom"/>
            <w:hideMark/>
          </w:tcPr>
          <w:p w14:paraId="4666DDC4"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15.8%</w:t>
            </w:r>
          </w:p>
        </w:tc>
        <w:tc>
          <w:tcPr>
            <w:tcW w:w="960" w:type="dxa"/>
            <w:tcBorders>
              <w:top w:val="nil"/>
              <w:left w:val="nil"/>
              <w:bottom w:val="nil"/>
              <w:right w:val="nil"/>
            </w:tcBorders>
            <w:shd w:val="clear" w:color="auto" w:fill="auto"/>
            <w:noWrap/>
            <w:vAlign w:val="bottom"/>
            <w:hideMark/>
          </w:tcPr>
          <w:p w14:paraId="73568C88"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101</w:t>
            </w:r>
          </w:p>
        </w:tc>
        <w:tc>
          <w:tcPr>
            <w:tcW w:w="960" w:type="dxa"/>
            <w:tcBorders>
              <w:top w:val="nil"/>
              <w:left w:val="nil"/>
              <w:bottom w:val="nil"/>
              <w:right w:val="single" w:sz="12" w:space="0" w:color="auto"/>
            </w:tcBorders>
            <w:shd w:val="clear" w:color="auto" w:fill="auto"/>
            <w:noWrap/>
            <w:vAlign w:val="bottom"/>
            <w:hideMark/>
          </w:tcPr>
          <w:p w14:paraId="5A5A1F90"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84.2%</w:t>
            </w:r>
          </w:p>
        </w:tc>
      </w:tr>
      <w:tr w:rsidR="00BC0A11" w14:paraId="48F8E138" w14:textId="77777777" w:rsidTr="00BC0A11">
        <w:trPr>
          <w:trHeight w:val="315"/>
        </w:trPr>
        <w:tc>
          <w:tcPr>
            <w:tcW w:w="3720" w:type="dxa"/>
            <w:tcBorders>
              <w:top w:val="nil"/>
              <w:left w:val="single" w:sz="12" w:space="0" w:color="auto"/>
              <w:bottom w:val="nil"/>
              <w:right w:val="single" w:sz="8" w:space="0" w:color="auto"/>
            </w:tcBorders>
            <w:shd w:val="clear" w:color="auto" w:fill="auto"/>
            <w:noWrap/>
            <w:vAlign w:val="bottom"/>
            <w:hideMark/>
          </w:tcPr>
          <w:p w14:paraId="2D48F9F2" w14:textId="77777777" w:rsidR="00BC0A11" w:rsidRDefault="00BC0A11">
            <w:pPr>
              <w:rPr>
                <w:rFonts w:ascii="Calibri" w:hAnsi="Calibri" w:cs="Calibri"/>
                <w:color w:val="000000"/>
                <w:sz w:val="22"/>
                <w:szCs w:val="22"/>
              </w:rPr>
            </w:pPr>
            <w:r>
              <w:rPr>
                <w:rFonts w:ascii="Calibri" w:hAnsi="Calibri" w:cs="Calibri"/>
                <w:color w:val="000000"/>
                <w:sz w:val="22"/>
                <w:szCs w:val="22"/>
              </w:rPr>
              <w:t>Band 6.</w:t>
            </w:r>
          </w:p>
        </w:tc>
        <w:tc>
          <w:tcPr>
            <w:tcW w:w="960" w:type="dxa"/>
            <w:tcBorders>
              <w:top w:val="nil"/>
              <w:left w:val="nil"/>
              <w:bottom w:val="nil"/>
              <w:right w:val="nil"/>
            </w:tcBorders>
            <w:shd w:val="clear" w:color="auto" w:fill="auto"/>
            <w:noWrap/>
            <w:vAlign w:val="bottom"/>
            <w:hideMark/>
          </w:tcPr>
          <w:p w14:paraId="63A9821E"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24</w:t>
            </w:r>
          </w:p>
        </w:tc>
        <w:tc>
          <w:tcPr>
            <w:tcW w:w="960" w:type="dxa"/>
            <w:tcBorders>
              <w:top w:val="nil"/>
              <w:left w:val="nil"/>
              <w:bottom w:val="nil"/>
              <w:right w:val="single" w:sz="8" w:space="0" w:color="auto"/>
            </w:tcBorders>
            <w:shd w:val="clear" w:color="auto" w:fill="auto"/>
            <w:noWrap/>
            <w:vAlign w:val="bottom"/>
            <w:hideMark/>
          </w:tcPr>
          <w:p w14:paraId="78F1A47E"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28.9%</w:t>
            </w:r>
          </w:p>
        </w:tc>
        <w:tc>
          <w:tcPr>
            <w:tcW w:w="960" w:type="dxa"/>
            <w:tcBorders>
              <w:top w:val="nil"/>
              <w:left w:val="nil"/>
              <w:bottom w:val="nil"/>
              <w:right w:val="nil"/>
            </w:tcBorders>
            <w:shd w:val="clear" w:color="auto" w:fill="auto"/>
            <w:noWrap/>
            <w:vAlign w:val="bottom"/>
            <w:hideMark/>
          </w:tcPr>
          <w:p w14:paraId="69406FAE"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59</w:t>
            </w:r>
          </w:p>
        </w:tc>
        <w:tc>
          <w:tcPr>
            <w:tcW w:w="960" w:type="dxa"/>
            <w:tcBorders>
              <w:top w:val="nil"/>
              <w:left w:val="nil"/>
              <w:bottom w:val="nil"/>
              <w:right w:val="single" w:sz="12" w:space="0" w:color="auto"/>
            </w:tcBorders>
            <w:shd w:val="clear" w:color="auto" w:fill="auto"/>
            <w:noWrap/>
            <w:vAlign w:val="bottom"/>
            <w:hideMark/>
          </w:tcPr>
          <w:p w14:paraId="6809546E"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71.1%</w:t>
            </w:r>
          </w:p>
        </w:tc>
      </w:tr>
      <w:tr w:rsidR="00BC0A11" w14:paraId="1BC55BC8" w14:textId="77777777" w:rsidTr="00BC0A11">
        <w:trPr>
          <w:trHeight w:val="315"/>
        </w:trPr>
        <w:tc>
          <w:tcPr>
            <w:tcW w:w="3720" w:type="dxa"/>
            <w:tcBorders>
              <w:top w:val="nil"/>
              <w:left w:val="single" w:sz="12" w:space="0" w:color="auto"/>
              <w:bottom w:val="nil"/>
              <w:right w:val="single" w:sz="8" w:space="0" w:color="auto"/>
            </w:tcBorders>
            <w:shd w:val="clear" w:color="auto" w:fill="auto"/>
            <w:noWrap/>
            <w:vAlign w:val="bottom"/>
            <w:hideMark/>
          </w:tcPr>
          <w:p w14:paraId="0EE4F258" w14:textId="77777777" w:rsidR="00BC0A11" w:rsidRDefault="00BC0A11">
            <w:pPr>
              <w:rPr>
                <w:rFonts w:ascii="Calibri" w:hAnsi="Calibri" w:cs="Calibri"/>
                <w:color w:val="000000"/>
                <w:sz w:val="22"/>
                <w:szCs w:val="22"/>
              </w:rPr>
            </w:pPr>
            <w:r>
              <w:rPr>
                <w:rFonts w:ascii="Calibri" w:hAnsi="Calibri" w:cs="Calibri"/>
                <w:color w:val="000000"/>
                <w:sz w:val="22"/>
                <w:szCs w:val="22"/>
              </w:rPr>
              <w:t>Band 7.</w:t>
            </w:r>
          </w:p>
        </w:tc>
        <w:tc>
          <w:tcPr>
            <w:tcW w:w="960" w:type="dxa"/>
            <w:tcBorders>
              <w:top w:val="nil"/>
              <w:left w:val="nil"/>
              <w:bottom w:val="nil"/>
              <w:right w:val="nil"/>
            </w:tcBorders>
            <w:shd w:val="clear" w:color="auto" w:fill="auto"/>
            <w:noWrap/>
            <w:vAlign w:val="bottom"/>
            <w:hideMark/>
          </w:tcPr>
          <w:p w14:paraId="0031DB03"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36</w:t>
            </w:r>
          </w:p>
        </w:tc>
        <w:tc>
          <w:tcPr>
            <w:tcW w:w="960" w:type="dxa"/>
            <w:tcBorders>
              <w:top w:val="nil"/>
              <w:left w:val="nil"/>
              <w:bottom w:val="nil"/>
              <w:right w:val="single" w:sz="8" w:space="0" w:color="auto"/>
            </w:tcBorders>
            <w:shd w:val="clear" w:color="auto" w:fill="auto"/>
            <w:noWrap/>
            <w:vAlign w:val="bottom"/>
            <w:hideMark/>
          </w:tcPr>
          <w:p w14:paraId="13ABA8AE"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28.3%</w:t>
            </w:r>
          </w:p>
        </w:tc>
        <w:tc>
          <w:tcPr>
            <w:tcW w:w="960" w:type="dxa"/>
            <w:tcBorders>
              <w:top w:val="nil"/>
              <w:left w:val="nil"/>
              <w:bottom w:val="nil"/>
              <w:right w:val="nil"/>
            </w:tcBorders>
            <w:shd w:val="clear" w:color="auto" w:fill="auto"/>
            <w:noWrap/>
            <w:vAlign w:val="bottom"/>
            <w:hideMark/>
          </w:tcPr>
          <w:p w14:paraId="3B72E398"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91</w:t>
            </w:r>
          </w:p>
        </w:tc>
        <w:tc>
          <w:tcPr>
            <w:tcW w:w="960" w:type="dxa"/>
            <w:tcBorders>
              <w:top w:val="nil"/>
              <w:left w:val="nil"/>
              <w:bottom w:val="nil"/>
              <w:right w:val="single" w:sz="12" w:space="0" w:color="auto"/>
            </w:tcBorders>
            <w:shd w:val="clear" w:color="auto" w:fill="auto"/>
            <w:noWrap/>
            <w:vAlign w:val="bottom"/>
            <w:hideMark/>
          </w:tcPr>
          <w:p w14:paraId="419211E5"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71.7%</w:t>
            </w:r>
          </w:p>
        </w:tc>
      </w:tr>
      <w:tr w:rsidR="00BC0A11" w14:paraId="6320F8F3" w14:textId="77777777" w:rsidTr="00BC0A11">
        <w:trPr>
          <w:trHeight w:val="315"/>
        </w:trPr>
        <w:tc>
          <w:tcPr>
            <w:tcW w:w="3720" w:type="dxa"/>
            <w:tcBorders>
              <w:top w:val="nil"/>
              <w:left w:val="single" w:sz="12" w:space="0" w:color="auto"/>
              <w:bottom w:val="nil"/>
              <w:right w:val="single" w:sz="8" w:space="0" w:color="auto"/>
            </w:tcBorders>
            <w:shd w:val="clear" w:color="auto" w:fill="auto"/>
            <w:noWrap/>
            <w:vAlign w:val="bottom"/>
            <w:hideMark/>
          </w:tcPr>
          <w:p w14:paraId="7D5EB61C" w14:textId="77777777" w:rsidR="00BC0A11" w:rsidRDefault="00BC0A11">
            <w:pPr>
              <w:rPr>
                <w:rFonts w:ascii="Calibri" w:hAnsi="Calibri" w:cs="Calibri"/>
                <w:color w:val="000000"/>
                <w:sz w:val="22"/>
                <w:szCs w:val="22"/>
              </w:rPr>
            </w:pPr>
            <w:r>
              <w:rPr>
                <w:rFonts w:ascii="Calibri" w:hAnsi="Calibri" w:cs="Calibri"/>
                <w:color w:val="000000"/>
                <w:sz w:val="22"/>
                <w:szCs w:val="22"/>
              </w:rPr>
              <w:t>Band 8A.</w:t>
            </w:r>
          </w:p>
        </w:tc>
        <w:tc>
          <w:tcPr>
            <w:tcW w:w="960" w:type="dxa"/>
            <w:tcBorders>
              <w:top w:val="nil"/>
              <w:left w:val="nil"/>
              <w:bottom w:val="nil"/>
              <w:right w:val="nil"/>
            </w:tcBorders>
            <w:shd w:val="clear" w:color="auto" w:fill="auto"/>
            <w:noWrap/>
            <w:vAlign w:val="bottom"/>
            <w:hideMark/>
          </w:tcPr>
          <w:p w14:paraId="357D41B0"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23</w:t>
            </w:r>
          </w:p>
        </w:tc>
        <w:tc>
          <w:tcPr>
            <w:tcW w:w="960" w:type="dxa"/>
            <w:tcBorders>
              <w:top w:val="nil"/>
              <w:left w:val="nil"/>
              <w:bottom w:val="nil"/>
              <w:right w:val="single" w:sz="8" w:space="0" w:color="auto"/>
            </w:tcBorders>
            <w:shd w:val="clear" w:color="auto" w:fill="auto"/>
            <w:noWrap/>
            <w:vAlign w:val="bottom"/>
            <w:hideMark/>
          </w:tcPr>
          <w:p w14:paraId="214DDDF9"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31.5%</w:t>
            </w:r>
          </w:p>
        </w:tc>
        <w:tc>
          <w:tcPr>
            <w:tcW w:w="960" w:type="dxa"/>
            <w:tcBorders>
              <w:top w:val="nil"/>
              <w:left w:val="nil"/>
              <w:bottom w:val="nil"/>
              <w:right w:val="nil"/>
            </w:tcBorders>
            <w:shd w:val="clear" w:color="auto" w:fill="auto"/>
            <w:noWrap/>
            <w:vAlign w:val="bottom"/>
            <w:hideMark/>
          </w:tcPr>
          <w:p w14:paraId="4349558D"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50</w:t>
            </w:r>
          </w:p>
        </w:tc>
        <w:tc>
          <w:tcPr>
            <w:tcW w:w="960" w:type="dxa"/>
            <w:tcBorders>
              <w:top w:val="nil"/>
              <w:left w:val="nil"/>
              <w:bottom w:val="nil"/>
              <w:right w:val="single" w:sz="12" w:space="0" w:color="auto"/>
            </w:tcBorders>
            <w:shd w:val="clear" w:color="auto" w:fill="auto"/>
            <w:noWrap/>
            <w:vAlign w:val="bottom"/>
            <w:hideMark/>
          </w:tcPr>
          <w:p w14:paraId="6F63CF9F"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68.5%</w:t>
            </w:r>
          </w:p>
        </w:tc>
      </w:tr>
      <w:tr w:rsidR="00BC0A11" w14:paraId="6A8A049A" w14:textId="77777777" w:rsidTr="00BC0A11">
        <w:trPr>
          <w:trHeight w:val="315"/>
        </w:trPr>
        <w:tc>
          <w:tcPr>
            <w:tcW w:w="3720" w:type="dxa"/>
            <w:tcBorders>
              <w:top w:val="nil"/>
              <w:left w:val="single" w:sz="12" w:space="0" w:color="auto"/>
              <w:bottom w:val="nil"/>
              <w:right w:val="single" w:sz="8" w:space="0" w:color="auto"/>
            </w:tcBorders>
            <w:shd w:val="clear" w:color="auto" w:fill="auto"/>
            <w:noWrap/>
            <w:vAlign w:val="bottom"/>
            <w:hideMark/>
          </w:tcPr>
          <w:p w14:paraId="02FB7B97" w14:textId="77777777" w:rsidR="00BC0A11" w:rsidRDefault="00BC0A11">
            <w:pPr>
              <w:rPr>
                <w:rFonts w:ascii="Calibri" w:hAnsi="Calibri" w:cs="Calibri"/>
                <w:color w:val="000000"/>
                <w:sz w:val="22"/>
                <w:szCs w:val="22"/>
              </w:rPr>
            </w:pPr>
            <w:r>
              <w:rPr>
                <w:rFonts w:ascii="Calibri" w:hAnsi="Calibri" w:cs="Calibri"/>
                <w:color w:val="000000"/>
                <w:sz w:val="22"/>
                <w:szCs w:val="22"/>
              </w:rPr>
              <w:t>Band 8B.</w:t>
            </w:r>
          </w:p>
        </w:tc>
        <w:tc>
          <w:tcPr>
            <w:tcW w:w="960" w:type="dxa"/>
            <w:tcBorders>
              <w:top w:val="nil"/>
              <w:left w:val="nil"/>
              <w:bottom w:val="nil"/>
              <w:right w:val="nil"/>
            </w:tcBorders>
            <w:shd w:val="clear" w:color="auto" w:fill="auto"/>
            <w:noWrap/>
            <w:vAlign w:val="bottom"/>
            <w:hideMark/>
          </w:tcPr>
          <w:p w14:paraId="04C10642"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24</w:t>
            </w:r>
          </w:p>
        </w:tc>
        <w:tc>
          <w:tcPr>
            <w:tcW w:w="960" w:type="dxa"/>
            <w:tcBorders>
              <w:top w:val="nil"/>
              <w:left w:val="nil"/>
              <w:bottom w:val="nil"/>
              <w:right w:val="single" w:sz="8" w:space="0" w:color="auto"/>
            </w:tcBorders>
            <w:shd w:val="clear" w:color="auto" w:fill="auto"/>
            <w:noWrap/>
            <w:vAlign w:val="bottom"/>
            <w:hideMark/>
          </w:tcPr>
          <w:p w14:paraId="7C19C082"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34.8%</w:t>
            </w:r>
          </w:p>
        </w:tc>
        <w:tc>
          <w:tcPr>
            <w:tcW w:w="960" w:type="dxa"/>
            <w:tcBorders>
              <w:top w:val="nil"/>
              <w:left w:val="nil"/>
              <w:bottom w:val="nil"/>
              <w:right w:val="nil"/>
            </w:tcBorders>
            <w:shd w:val="clear" w:color="auto" w:fill="auto"/>
            <w:noWrap/>
            <w:vAlign w:val="bottom"/>
            <w:hideMark/>
          </w:tcPr>
          <w:p w14:paraId="02FB2458"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45</w:t>
            </w:r>
          </w:p>
        </w:tc>
        <w:tc>
          <w:tcPr>
            <w:tcW w:w="960" w:type="dxa"/>
            <w:tcBorders>
              <w:top w:val="nil"/>
              <w:left w:val="nil"/>
              <w:bottom w:val="nil"/>
              <w:right w:val="single" w:sz="12" w:space="0" w:color="auto"/>
            </w:tcBorders>
            <w:shd w:val="clear" w:color="auto" w:fill="auto"/>
            <w:noWrap/>
            <w:vAlign w:val="bottom"/>
            <w:hideMark/>
          </w:tcPr>
          <w:p w14:paraId="77AE0886"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65.2%</w:t>
            </w:r>
          </w:p>
        </w:tc>
      </w:tr>
      <w:tr w:rsidR="00BC0A11" w14:paraId="4A90297C" w14:textId="77777777" w:rsidTr="00BC0A11">
        <w:trPr>
          <w:trHeight w:val="315"/>
        </w:trPr>
        <w:tc>
          <w:tcPr>
            <w:tcW w:w="3720" w:type="dxa"/>
            <w:tcBorders>
              <w:top w:val="nil"/>
              <w:left w:val="single" w:sz="12" w:space="0" w:color="auto"/>
              <w:bottom w:val="nil"/>
              <w:right w:val="single" w:sz="8" w:space="0" w:color="auto"/>
            </w:tcBorders>
            <w:shd w:val="clear" w:color="auto" w:fill="auto"/>
            <w:noWrap/>
            <w:vAlign w:val="bottom"/>
            <w:hideMark/>
          </w:tcPr>
          <w:p w14:paraId="4BDF6588" w14:textId="77777777" w:rsidR="00BC0A11" w:rsidRDefault="00BC0A11">
            <w:pPr>
              <w:rPr>
                <w:rFonts w:ascii="Calibri" w:hAnsi="Calibri" w:cs="Calibri"/>
                <w:color w:val="000000"/>
                <w:sz w:val="22"/>
                <w:szCs w:val="22"/>
              </w:rPr>
            </w:pPr>
            <w:r>
              <w:rPr>
                <w:rFonts w:ascii="Calibri" w:hAnsi="Calibri" w:cs="Calibri"/>
                <w:color w:val="000000"/>
                <w:sz w:val="22"/>
                <w:szCs w:val="22"/>
              </w:rPr>
              <w:t>Band 8C.</w:t>
            </w:r>
          </w:p>
        </w:tc>
        <w:tc>
          <w:tcPr>
            <w:tcW w:w="960" w:type="dxa"/>
            <w:tcBorders>
              <w:top w:val="nil"/>
              <w:left w:val="nil"/>
              <w:bottom w:val="nil"/>
              <w:right w:val="nil"/>
            </w:tcBorders>
            <w:shd w:val="clear" w:color="auto" w:fill="auto"/>
            <w:noWrap/>
            <w:vAlign w:val="bottom"/>
            <w:hideMark/>
          </w:tcPr>
          <w:p w14:paraId="5446E739"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8</w:t>
            </w:r>
          </w:p>
        </w:tc>
        <w:tc>
          <w:tcPr>
            <w:tcW w:w="960" w:type="dxa"/>
            <w:tcBorders>
              <w:top w:val="nil"/>
              <w:left w:val="nil"/>
              <w:bottom w:val="nil"/>
              <w:right w:val="single" w:sz="8" w:space="0" w:color="auto"/>
            </w:tcBorders>
            <w:shd w:val="clear" w:color="auto" w:fill="auto"/>
            <w:noWrap/>
            <w:vAlign w:val="bottom"/>
            <w:hideMark/>
          </w:tcPr>
          <w:p w14:paraId="3F216739"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22.9%</w:t>
            </w:r>
          </w:p>
        </w:tc>
        <w:tc>
          <w:tcPr>
            <w:tcW w:w="960" w:type="dxa"/>
            <w:tcBorders>
              <w:top w:val="nil"/>
              <w:left w:val="nil"/>
              <w:bottom w:val="nil"/>
              <w:right w:val="nil"/>
            </w:tcBorders>
            <w:shd w:val="clear" w:color="auto" w:fill="auto"/>
            <w:noWrap/>
            <w:vAlign w:val="bottom"/>
            <w:hideMark/>
          </w:tcPr>
          <w:p w14:paraId="7F81D6A9"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27</w:t>
            </w:r>
          </w:p>
        </w:tc>
        <w:tc>
          <w:tcPr>
            <w:tcW w:w="960" w:type="dxa"/>
            <w:tcBorders>
              <w:top w:val="nil"/>
              <w:left w:val="nil"/>
              <w:bottom w:val="nil"/>
              <w:right w:val="single" w:sz="12" w:space="0" w:color="auto"/>
            </w:tcBorders>
            <w:shd w:val="clear" w:color="auto" w:fill="auto"/>
            <w:noWrap/>
            <w:vAlign w:val="bottom"/>
            <w:hideMark/>
          </w:tcPr>
          <w:p w14:paraId="3315133F"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77.1%</w:t>
            </w:r>
          </w:p>
        </w:tc>
      </w:tr>
      <w:tr w:rsidR="00BC0A11" w14:paraId="4706726B" w14:textId="77777777" w:rsidTr="00BC0A11">
        <w:trPr>
          <w:trHeight w:val="315"/>
        </w:trPr>
        <w:tc>
          <w:tcPr>
            <w:tcW w:w="3720" w:type="dxa"/>
            <w:tcBorders>
              <w:top w:val="nil"/>
              <w:left w:val="single" w:sz="12" w:space="0" w:color="auto"/>
              <w:bottom w:val="nil"/>
              <w:right w:val="single" w:sz="8" w:space="0" w:color="auto"/>
            </w:tcBorders>
            <w:shd w:val="clear" w:color="auto" w:fill="auto"/>
            <w:noWrap/>
            <w:vAlign w:val="bottom"/>
            <w:hideMark/>
          </w:tcPr>
          <w:p w14:paraId="17944C79" w14:textId="77777777" w:rsidR="00BC0A11" w:rsidRDefault="00BC0A11">
            <w:pPr>
              <w:rPr>
                <w:rFonts w:ascii="Calibri" w:hAnsi="Calibri" w:cs="Calibri"/>
                <w:color w:val="000000"/>
                <w:sz w:val="22"/>
                <w:szCs w:val="22"/>
              </w:rPr>
            </w:pPr>
            <w:r>
              <w:rPr>
                <w:rFonts w:ascii="Calibri" w:hAnsi="Calibri" w:cs="Calibri"/>
                <w:color w:val="000000"/>
                <w:sz w:val="22"/>
                <w:szCs w:val="22"/>
              </w:rPr>
              <w:t>Band 8D.</w:t>
            </w:r>
          </w:p>
        </w:tc>
        <w:tc>
          <w:tcPr>
            <w:tcW w:w="960" w:type="dxa"/>
            <w:tcBorders>
              <w:top w:val="nil"/>
              <w:left w:val="nil"/>
              <w:bottom w:val="nil"/>
              <w:right w:val="nil"/>
            </w:tcBorders>
            <w:shd w:val="clear" w:color="auto" w:fill="auto"/>
            <w:noWrap/>
            <w:vAlign w:val="bottom"/>
            <w:hideMark/>
          </w:tcPr>
          <w:p w14:paraId="2F4669F1"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w:t>
            </w:r>
          </w:p>
        </w:tc>
        <w:tc>
          <w:tcPr>
            <w:tcW w:w="960" w:type="dxa"/>
            <w:tcBorders>
              <w:top w:val="nil"/>
              <w:left w:val="nil"/>
              <w:bottom w:val="nil"/>
              <w:right w:val="single" w:sz="8" w:space="0" w:color="auto"/>
            </w:tcBorders>
            <w:shd w:val="clear" w:color="auto" w:fill="auto"/>
            <w:noWrap/>
            <w:vAlign w:val="bottom"/>
            <w:hideMark/>
          </w:tcPr>
          <w:p w14:paraId="3B5B0DEE"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36.4%</w:t>
            </w:r>
          </w:p>
        </w:tc>
        <w:tc>
          <w:tcPr>
            <w:tcW w:w="960" w:type="dxa"/>
            <w:tcBorders>
              <w:top w:val="nil"/>
              <w:left w:val="nil"/>
              <w:bottom w:val="nil"/>
              <w:right w:val="nil"/>
            </w:tcBorders>
            <w:shd w:val="clear" w:color="auto" w:fill="auto"/>
            <w:noWrap/>
            <w:vAlign w:val="bottom"/>
            <w:hideMark/>
          </w:tcPr>
          <w:p w14:paraId="2F3232F6"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7</w:t>
            </w:r>
          </w:p>
        </w:tc>
        <w:tc>
          <w:tcPr>
            <w:tcW w:w="960" w:type="dxa"/>
            <w:tcBorders>
              <w:top w:val="nil"/>
              <w:left w:val="nil"/>
              <w:bottom w:val="nil"/>
              <w:right w:val="single" w:sz="12" w:space="0" w:color="auto"/>
            </w:tcBorders>
            <w:shd w:val="clear" w:color="auto" w:fill="auto"/>
            <w:noWrap/>
            <w:vAlign w:val="bottom"/>
            <w:hideMark/>
          </w:tcPr>
          <w:p w14:paraId="33D9D67E"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63.6%</w:t>
            </w:r>
          </w:p>
        </w:tc>
      </w:tr>
      <w:tr w:rsidR="00BC0A11" w14:paraId="010D69E7" w14:textId="77777777" w:rsidTr="00BC0A11">
        <w:trPr>
          <w:trHeight w:val="315"/>
        </w:trPr>
        <w:tc>
          <w:tcPr>
            <w:tcW w:w="3720" w:type="dxa"/>
            <w:tcBorders>
              <w:top w:val="nil"/>
              <w:left w:val="single" w:sz="12" w:space="0" w:color="auto"/>
              <w:bottom w:val="single" w:sz="4" w:space="0" w:color="8EA9DB"/>
              <w:right w:val="single" w:sz="8" w:space="0" w:color="auto"/>
            </w:tcBorders>
            <w:shd w:val="clear" w:color="auto" w:fill="auto"/>
            <w:noWrap/>
            <w:vAlign w:val="bottom"/>
            <w:hideMark/>
          </w:tcPr>
          <w:p w14:paraId="5D605A1F" w14:textId="77777777" w:rsidR="00BC0A11" w:rsidRDefault="00BC0A11">
            <w:pPr>
              <w:rPr>
                <w:rFonts w:ascii="Calibri" w:hAnsi="Calibri" w:cs="Calibri"/>
                <w:color w:val="000000"/>
                <w:sz w:val="22"/>
                <w:szCs w:val="22"/>
              </w:rPr>
            </w:pPr>
            <w:r>
              <w:rPr>
                <w:rFonts w:ascii="Calibri" w:hAnsi="Calibri" w:cs="Calibri"/>
                <w:color w:val="000000"/>
                <w:sz w:val="22"/>
                <w:szCs w:val="22"/>
              </w:rPr>
              <w:t>DiTs and Fellows</w:t>
            </w:r>
          </w:p>
        </w:tc>
        <w:tc>
          <w:tcPr>
            <w:tcW w:w="960" w:type="dxa"/>
            <w:tcBorders>
              <w:top w:val="nil"/>
              <w:left w:val="nil"/>
              <w:bottom w:val="single" w:sz="4" w:space="0" w:color="8EA9DB"/>
              <w:right w:val="nil"/>
            </w:tcBorders>
            <w:shd w:val="clear" w:color="auto" w:fill="auto"/>
            <w:noWrap/>
            <w:vAlign w:val="bottom"/>
            <w:hideMark/>
          </w:tcPr>
          <w:p w14:paraId="546E3CA4"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591</w:t>
            </w:r>
          </w:p>
        </w:tc>
        <w:tc>
          <w:tcPr>
            <w:tcW w:w="960" w:type="dxa"/>
            <w:tcBorders>
              <w:top w:val="nil"/>
              <w:left w:val="nil"/>
              <w:bottom w:val="single" w:sz="4" w:space="0" w:color="8EA9DB"/>
              <w:right w:val="single" w:sz="8" w:space="0" w:color="auto"/>
            </w:tcBorders>
            <w:shd w:val="clear" w:color="auto" w:fill="auto"/>
            <w:noWrap/>
            <w:vAlign w:val="bottom"/>
            <w:hideMark/>
          </w:tcPr>
          <w:p w14:paraId="24193034"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36.4%</w:t>
            </w:r>
          </w:p>
        </w:tc>
        <w:tc>
          <w:tcPr>
            <w:tcW w:w="960" w:type="dxa"/>
            <w:tcBorders>
              <w:top w:val="nil"/>
              <w:left w:val="nil"/>
              <w:bottom w:val="single" w:sz="4" w:space="0" w:color="8EA9DB"/>
              <w:right w:val="nil"/>
            </w:tcBorders>
            <w:shd w:val="clear" w:color="auto" w:fill="auto"/>
            <w:noWrap/>
            <w:vAlign w:val="bottom"/>
            <w:hideMark/>
          </w:tcPr>
          <w:p w14:paraId="755AFF72"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1032</w:t>
            </w:r>
          </w:p>
        </w:tc>
        <w:tc>
          <w:tcPr>
            <w:tcW w:w="960" w:type="dxa"/>
            <w:tcBorders>
              <w:top w:val="nil"/>
              <w:left w:val="nil"/>
              <w:bottom w:val="single" w:sz="4" w:space="0" w:color="8EA9DB"/>
              <w:right w:val="single" w:sz="12" w:space="0" w:color="auto"/>
            </w:tcBorders>
            <w:shd w:val="clear" w:color="auto" w:fill="auto"/>
            <w:noWrap/>
            <w:vAlign w:val="bottom"/>
            <w:hideMark/>
          </w:tcPr>
          <w:p w14:paraId="3F06C056"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63.6%</w:t>
            </w:r>
          </w:p>
        </w:tc>
      </w:tr>
      <w:tr w:rsidR="00BC0A11" w14:paraId="5E22B742" w14:textId="77777777" w:rsidTr="00BC0A11">
        <w:trPr>
          <w:trHeight w:val="315"/>
        </w:trPr>
        <w:tc>
          <w:tcPr>
            <w:tcW w:w="3720" w:type="dxa"/>
            <w:tcBorders>
              <w:top w:val="nil"/>
              <w:left w:val="single" w:sz="12" w:space="0" w:color="auto"/>
              <w:bottom w:val="single" w:sz="4" w:space="0" w:color="8EA9DB"/>
              <w:right w:val="single" w:sz="8" w:space="0" w:color="auto"/>
            </w:tcBorders>
            <w:shd w:val="clear" w:color="auto" w:fill="auto"/>
            <w:noWrap/>
            <w:vAlign w:val="bottom"/>
            <w:hideMark/>
          </w:tcPr>
          <w:p w14:paraId="7AA48168" w14:textId="77777777" w:rsidR="00BC0A11" w:rsidRDefault="00BC0A11">
            <w:pPr>
              <w:rPr>
                <w:rFonts w:ascii="Calibri" w:hAnsi="Calibri" w:cs="Calibri"/>
                <w:color w:val="000000"/>
                <w:sz w:val="22"/>
                <w:szCs w:val="22"/>
              </w:rPr>
            </w:pPr>
            <w:r>
              <w:rPr>
                <w:rFonts w:ascii="Calibri" w:hAnsi="Calibri" w:cs="Calibri"/>
                <w:color w:val="000000"/>
                <w:sz w:val="22"/>
                <w:szCs w:val="22"/>
              </w:rPr>
              <w:t>Executive Managers Cohort / Band 9</w:t>
            </w:r>
          </w:p>
        </w:tc>
        <w:tc>
          <w:tcPr>
            <w:tcW w:w="960" w:type="dxa"/>
            <w:tcBorders>
              <w:top w:val="nil"/>
              <w:left w:val="nil"/>
              <w:bottom w:val="single" w:sz="4" w:space="0" w:color="8EA9DB"/>
              <w:right w:val="nil"/>
            </w:tcBorders>
            <w:shd w:val="clear" w:color="auto" w:fill="auto"/>
            <w:noWrap/>
            <w:vAlign w:val="bottom"/>
            <w:hideMark/>
          </w:tcPr>
          <w:p w14:paraId="14055F5B"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w:t>
            </w:r>
          </w:p>
        </w:tc>
        <w:tc>
          <w:tcPr>
            <w:tcW w:w="960" w:type="dxa"/>
            <w:tcBorders>
              <w:top w:val="nil"/>
              <w:left w:val="nil"/>
              <w:bottom w:val="single" w:sz="4" w:space="0" w:color="8EA9DB"/>
              <w:right w:val="single" w:sz="8" w:space="0" w:color="auto"/>
            </w:tcBorders>
            <w:shd w:val="clear" w:color="auto" w:fill="auto"/>
            <w:noWrap/>
            <w:vAlign w:val="bottom"/>
            <w:hideMark/>
          </w:tcPr>
          <w:p w14:paraId="2D27ECB8"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42.9%</w:t>
            </w:r>
          </w:p>
        </w:tc>
        <w:tc>
          <w:tcPr>
            <w:tcW w:w="960" w:type="dxa"/>
            <w:tcBorders>
              <w:top w:val="nil"/>
              <w:left w:val="nil"/>
              <w:bottom w:val="single" w:sz="4" w:space="0" w:color="8EA9DB"/>
              <w:right w:val="nil"/>
            </w:tcBorders>
            <w:shd w:val="clear" w:color="auto" w:fill="auto"/>
            <w:noWrap/>
            <w:vAlign w:val="bottom"/>
            <w:hideMark/>
          </w:tcPr>
          <w:p w14:paraId="6FB10D55"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w:t>
            </w:r>
          </w:p>
        </w:tc>
        <w:tc>
          <w:tcPr>
            <w:tcW w:w="960" w:type="dxa"/>
            <w:tcBorders>
              <w:top w:val="nil"/>
              <w:left w:val="nil"/>
              <w:bottom w:val="single" w:sz="4" w:space="0" w:color="8EA9DB"/>
              <w:right w:val="single" w:sz="12" w:space="0" w:color="auto"/>
            </w:tcBorders>
            <w:shd w:val="clear" w:color="auto" w:fill="auto"/>
            <w:noWrap/>
            <w:vAlign w:val="bottom"/>
            <w:hideMark/>
          </w:tcPr>
          <w:p w14:paraId="76596272"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57.1%</w:t>
            </w:r>
          </w:p>
        </w:tc>
      </w:tr>
      <w:tr w:rsidR="00BC0A11" w14:paraId="03A76157" w14:textId="77777777" w:rsidTr="00BC0A11">
        <w:trPr>
          <w:trHeight w:val="315"/>
        </w:trPr>
        <w:tc>
          <w:tcPr>
            <w:tcW w:w="3720" w:type="dxa"/>
            <w:tcBorders>
              <w:top w:val="nil"/>
              <w:left w:val="single" w:sz="12" w:space="0" w:color="auto"/>
              <w:bottom w:val="single" w:sz="4" w:space="0" w:color="8EA9DB"/>
              <w:right w:val="single" w:sz="8" w:space="0" w:color="auto"/>
            </w:tcBorders>
            <w:shd w:val="clear" w:color="auto" w:fill="auto"/>
            <w:noWrap/>
            <w:vAlign w:val="bottom"/>
            <w:hideMark/>
          </w:tcPr>
          <w:p w14:paraId="74DD44F3" w14:textId="77777777" w:rsidR="00BC0A11" w:rsidRDefault="00BC0A11">
            <w:pPr>
              <w:rPr>
                <w:rFonts w:ascii="Calibri" w:hAnsi="Calibri" w:cs="Calibri"/>
                <w:color w:val="000000"/>
                <w:sz w:val="22"/>
                <w:szCs w:val="22"/>
              </w:rPr>
            </w:pPr>
            <w:r>
              <w:rPr>
                <w:rFonts w:ascii="Calibri" w:hAnsi="Calibri" w:cs="Calibri"/>
                <w:color w:val="000000"/>
                <w:sz w:val="22"/>
                <w:szCs w:val="22"/>
              </w:rPr>
              <w:t>GP/GDP Ed's, CRUMP and Consultants</w:t>
            </w:r>
          </w:p>
        </w:tc>
        <w:tc>
          <w:tcPr>
            <w:tcW w:w="960" w:type="dxa"/>
            <w:tcBorders>
              <w:top w:val="nil"/>
              <w:left w:val="nil"/>
              <w:bottom w:val="single" w:sz="4" w:space="0" w:color="8EA9DB"/>
              <w:right w:val="nil"/>
            </w:tcBorders>
            <w:shd w:val="clear" w:color="auto" w:fill="auto"/>
            <w:noWrap/>
            <w:vAlign w:val="bottom"/>
            <w:hideMark/>
          </w:tcPr>
          <w:p w14:paraId="67AB26A5"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56</w:t>
            </w:r>
          </w:p>
        </w:tc>
        <w:tc>
          <w:tcPr>
            <w:tcW w:w="960" w:type="dxa"/>
            <w:tcBorders>
              <w:top w:val="nil"/>
              <w:left w:val="nil"/>
              <w:bottom w:val="single" w:sz="4" w:space="0" w:color="8EA9DB"/>
              <w:right w:val="single" w:sz="8" w:space="0" w:color="auto"/>
            </w:tcBorders>
            <w:shd w:val="clear" w:color="auto" w:fill="auto"/>
            <w:noWrap/>
            <w:vAlign w:val="bottom"/>
            <w:hideMark/>
          </w:tcPr>
          <w:p w14:paraId="2BF67843"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56.0%</w:t>
            </w:r>
          </w:p>
        </w:tc>
        <w:tc>
          <w:tcPr>
            <w:tcW w:w="960" w:type="dxa"/>
            <w:tcBorders>
              <w:top w:val="nil"/>
              <w:left w:val="nil"/>
              <w:bottom w:val="single" w:sz="4" w:space="0" w:color="8EA9DB"/>
              <w:right w:val="nil"/>
            </w:tcBorders>
            <w:shd w:val="clear" w:color="auto" w:fill="auto"/>
            <w:noWrap/>
            <w:vAlign w:val="bottom"/>
            <w:hideMark/>
          </w:tcPr>
          <w:p w14:paraId="29706088"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44</w:t>
            </w:r>
          </w:p>
        </w:tc>
        <w:tc>
          <w:tcPr>
            <w:tcW w:w="960" w:type="dxa"/>
            <w:tcBorders>
              <w:top w:val="nil"/>
              <w:left w:val="nil"/>
              <w:bottom w:val="single" w:sz="4" w:space="0" w:color="8EA9DB"/>
              <w:right w:val="single" w:sz="12" w:space="0" w:color="auto"/>
            </w:tcBorders>
            <w:shd w:val="clear" w:color="auto" w:fill="auto"/>
            <w:noWrap/>
            <w:vAlign w:val="bottom"/>
            <w:hideMark/>
          </w:tcPr>
          <w:p w14:paraId="5734121A" w14:textId="77777777" w:rsidR="00BC0A11" w:rsidRDefault="00BC0A11">
            <w:pPr>
              <w:jc w:val="center"/>
              <w:rPr>
                <w:rFonts w:ascii="Calibri" w:hAnsi="Calibri" w:cs="Calibri"/>
                <w:color w:val="000000"/>
                <w:sz w:val="22"/>
                <w:szCs w:val="22"/>
              </w:rPr>
            </w:pPr>
            <w:r>
              <w:rPr>
                <w:rFonts w:ascii="Calibri" w:hAnsi="Calibri" w:cs="Calibri"/>
                <w:color w:val="000000"/>
                <w:sz w:val="22"/>
                <w:szCs w:val="22"/>
              </w:rPr>
              <w:t>44.0%</w:t>
            </w:r>
          </w:p>
        </w:tc>
      </w:tr>
      <w:tr w:rsidR="00BC0A11" w14:paraId="06A671F6" w14:textId="77777777" w:rsidTr="00BC0A11">
        <w:trPr>
          <w:trHeight w:val="330"/>
        </w:trPr>
        <w:tc>
          <w:tcPr>
            <w:tcW w:w="3720" w:type="dxa"/>
            <w:tcBorders>
              <w:top w:val="nil"/>
              <w:left w:val="single" w:sz="12" w:space="0" w:color="auto"/>
              <w:bottom w:val="single" w:sz="12" w:space="0" w:color="auto"/>
              <w:right w:val="single" w:sz="8" w:space="0" w:color="auto"/>
            </w:tcBorders>
            <w:shd w:val="clear" w:color="D9E1F2" w:fill="D9E1F2"/>
            <w:noWrap/>
            <w:vAlign w:val="bottom"/>
            <w:hideMark/>
          </w:tcPr>
          <w:p w14:paraId="474DFDAD" w14:textId="77777777" w:rsidR="00BC0A11" w:rsidRDefault="00BC0A11">
            <w:pPr>
              <w:rPr>
                <w:rFonts w:ascii="Calibri" w:hAnsi="Calibri" w:cs="Calibri"/>
                <w:b/>
                <w:bCs/>
                <w:color w:val="000000"/>
                <w:sz w:val="22"/>
                <w:szCs w:val="22"/>
              </w:rPr>
            </w:pPr>
            <w:r>
              <w:rPr>
                <w:rFonts w:ascii="Calibri" w:hAnsi="Calibri" w:cs="Calibri"/>
                <w:b/>
                <w:bCs/>
                <w:color w:val="000000"/>
                <w:sz w:val="22"/>
                <w:szCs w:val="22"/>
              </w:rPr>
              <w:t>Grand Total</w:t>
            </w:r>
          </w:p>
        </w:tc>
        <w:tc>
          <w:tcPr>
            <w:tcW w:w="960" w:type="dxa"/>
            <w:tcBorders>
              <w:top w:val="nil"/>
              <w:left w:val="nil"/>
              <w:bottom w:val="single" w:sz="12" w:space="0" w:color="auto"/>
              <w:right w:val="nil"/>
            </w:tcBorders>
            <w:shd w:val="clear" w:color="D9E1F2" w:fill="D9E1F2"/>
            <w:noWrap/>
            <w:vAlign w:val="bottom"/>
            <w:hideMark/>
          </w:tcPr>
          <w:p w14:paraId="1609C319" w14:textId="77777777" w:rsidR="00BC0A11" w:rsidRDefault="00BC0A11">
            <w:pPr>
              <w:jc w:val="center"/>
              <w:rPr>
                <w:rFonts w:ascii="Calibri" w:hAnsi="Calibri" w:cs="Calibri"/>
                <w:b/>
                <w:bCs/>
                <w:color w:val="000000"/>
                <w:sz w:val="22"/>
                <w:szCs w:val="22"/>
              </w:rPr>
            </w:pPr>
            <w:r>
              <w:rPr>
                <w:rFonts w:ascii="Calibri" w:hAnsi="Calibri" w:cs="Calibri"/>
                <w:b/>
                <w:bCs/>
                <w:color w:val="000000"/>
                <w:sz w:val="22"/>
                <w:szCs w:val="22"/>
              </w:rPr>
              <w:t>823</w:t>
            </w:r>
          </w:p>
        </w:tc>
        <w:tc>
          <w:tcPr>
            <w:tcW w:w="960" w:type="dxa"/>
            <w:tcBorders>
              <w:top w:val="nil"/>
              <w:left w:val="nil"/>
              <w:bottom w:val="single" w:sz="12" w:space="0" w:color="auto"/>
              <w:right w:val="single" w:sz="8" w:space="0" w:color="auto"/>
            </w:tcBorders>
            <w:shd w:val="clear" w:color="D9E1F2" w:fill="D9E1F2"/>
            <w:noWrap/>
            <w:vAlign w:val="bottom"/>
            <w:hideMark/>
          </w:tcPr>
          <w:p w14:paraId="0F8E431E" w14:textId="77777777" w:rsidR="00BC0A11" w:rsidRDefault="00BC0A11">
            <w:pPr>
              <w:jc w:val="center"/>
              <w:rPr>
                <w:rFonts w:ascii="Calibri" w:hAnsi="Calibri" w:cs="Calibri"/>
                <w:b/>
                <w:bCs/>
                <w:color w:val="000000"/>
                <w:sz w:val="22"/>
                <w:szCs w:val="22"/>
              </w:rPr>
            </w:pPr>
            <w:r>
              <w:rPr>
                <w:rFonts w:ascii="Calibri" w:hAnsi="Calibri" w:cs="Calibri"/>
                <w:b/>
                <w:bCs/>
                <w:color w:val="000000"/>
                <w:sz w:val="22"/>
                <w:szCs w:val="22"/>
              </w:rPr>
              <w:t>33.8%</w:t>
            </w:r>
          </w:p>
        </w:tc>
        <w:tc>
          <w:tcPr>
            <w:tcW w:w="960" w:type="dxa"/>
            <w:tcBorders>
              <w:top w:val="nil"/>
              <w:left w:val="nil"/>
              <w:bottom w:val="single" w:sz="12" w:space="0" w:color="auto"/>
              <w:right w:val="nil"/>
            </w:tcBorders>
            <w:shd w:val="clear" w:color="D9E1F2" w:fill="D9E1F2"/>
            <w:noWrap/>
            <w:vAlign w:val="bottom"/>
            <w:hideMark/>
          </w:tcPr>
          <w:p w14:paraId="5FB18FBE" w14:textId="77777777" w:rsidR="00BC0A11" w:rsidRDefault="00BC0A11">
            <w:pPr>
              <w:jc w:val="center"/>
              <w:rPr>
                <w:rFonts w:ascii="Calibri" w:hAnsi="Calibri" w:cs="Calibri"/>
                <w:b/>
                <w:bCs/>
                <w:color w:val="000000"/>
                <w:sz w:val="22"/>
                <w:szCs w:val="22"/>
              </w:rPr>
            </w:pPr>
            <w:r>
              <w:rPr>
                <w:rFonts w:ascii="Calibri" w:hAnsi="Calibri" w:cs="Calibri"/>
                <w:b/>
                <w:bCs/>
                <w:color w:val="000000"/>
                <w:sz w:val="22"/>
                <w:szCs w:val="22"/>
              </w:rPr>
              <w:t>1613</w:t>
            </w:r>
          </w:p>
        </w:tc>
        <w:tc>
          <w:tcPr>
            <w:tcW w:w="960" w:type="dxa"/>
            <w:tcBorders>
              <w:top w:val="nil"/>
              <w:left w:val="nil"/>
              <w:bottom w:val="single" w:sz="12" w:space="0" w:color="auto"/>
              <w:right w:val="single" w:sz="12" w:space="0" w:color="auto"/>
            </w:tcBorders>
            <w:shd w:val="clear" w:color="D9E1F2" w:fill="D9E1F2"/>
            <w:noWrap/>
            <w:vAlign w:val="bottom"/>
            <w:hideMark/>
          </w:tcPr>
          <w:p w14:paraId="39E44E8E" w14:textId="77777777" w:rsidR="00BC0A11" w:rsidRDefault="00BC0A11">
            <w:pPr>
              <w:jc w:val="center"/>
              <w:rPr>
                <w:rFonts w:ascii="Calibri" w:hAnsi="Calibri" w:cs="Calibri"/>
                <w:b/>
                <w:bCs/>
                <w:color w:val="000000"/>
                <w:sz w:val="22"/>
                <w:szCs w:val="22"/>
              </w:rPr>
            </w:pPr>
            <w:r>
              <w:rPr>
                <w:rFonts w:ascii="Calibri" w:hAnsi="Calibri" w:cs="Calibri"/>
                <w:b/>
                <w:bCs/>
                <w:color w:val="000000"/>
                <w:sz w:val="22"/>
                <w:szCs w:val="22"/>
              </w:rPr>
              <w:t>66.2%</w:t>
            </w:r>
          </w:p>
        </w:tc>
      </w:tr>
    </w:tbl>
    <w:p w14:paraId="77EC446D" w14:textId="563CD5B2" w:rsidR="005E7CF8" w:rsidRPr="005A1824" w:rsidRDefault="005E7CF8" w:rsidP="005E7CF8">
      <w:pPr>
        <w:autoSpaceDE w:val="0"/>
        <w:autoSpaceDN w:val="0"/>
        <w:adjustRightInd w:val="0"/>
        <w:spacing w:line="360" w:lineRule="auto"/>
        <w:rPr>
          <w:rFonts w:ascii="Arial" w:eastAsia="Arial" w:hAnsi="Arial" w:cs="Arial"/>
          <w:i/>
          <w:iCs/>
          <w:color w:val="000000" w:themeColor="text1"/>
          <w:sz w:val="20"/>
          <w:szCs w:val="20"/>
        </w:rPr>
      </w:pPr>
      <w:r>
        <w:rPr>
          <w:rFonts w:ascii="Arial" w:eastAsia="Arial" w:hAnsi="Arial" w:cs="Arial"/>
          <w:i/>
          <w:iCs/>
          <w:color w:val="000000" w:themeColor="text1"/>
          <w:sz w:val="20"/>
          <w:szCs w:val="20"/>
        </w:rPr>
        <w:t xml:space="preserve">If the statistical value is less than 5, the number is </w:t>
      </w:r>
      <w:r w:rsidRPr="005A1824">
        <w:rPr>
          <w:rFonts w:ascii="Arial" w:eastAsia="Arial" w:hAnsi="Arial" w:cs="Arial"/>
          <w:i/>
          <w:iCs/>
          <w:color w:val="000000" w:themeColor="text1"/>
          <w:sz w:val="20"/>
          <w:szCs w:val="20"/>
        </w:rPr>
        <w:t>suppressed</w:t>
      </w:r>
      <w:r>
        <w:rPr>
          <w:rFonts w:ascii="Arial" w:eastAsia="Arial" w:hAnsi="Arial" w:cs="Arial"/>
          <w:i/>
          <w:iCs/>
          <w:color w:val="000000" w:themeColor="text1"/>
          <w:sz w:val="20"/>
          <w:szCs w:val="20"/>
        </w:rPr>
        <w:t xml:space="preserve"> and denoted by a * to </w:t>
      </w:r>
      <w:r w:rsidRPr="005A1824">
        <w:rPr>
          <w:rFonts w:ascii="Arial" w:eastAsia="Arial" w:hAnsi="Arial" w:cs="Arial"/>
          <w:i/>
          <w:iCs/>
          <w:color w:val="000000" w:themeColor="text1"/>
          <w:sz w:val="20"/>
          <w:szCs w:val="20"/>
        </w:rPr>
        <w:t>eliminate the risk of identifying individual</w:t>
      </w:r>
      <w:r>
        <w:rPr>
          <w:rFonts w:ascii="Arial" w:eastAsia="Arial" w:hAnsi="Arial" w:cs="Arial"/>
          <w:i/>
          <w:iCs/>
          <w:color w:val="000000" w:themeColor="text1"/>
          <w:sz w:val="20"/>
          <w:szCs w:val="20"/>
        </w:rPr>
        <w:t>s.</w:t>
      </w:r>
    </w:p>
    <w:p w14:paraId="277FD8B0" w14:textId="77777777" w:rsidR="00EA157D" w:rsidRDefault="00EA157D" w:rsidP="00AF0A00">
      <w:pPr>
        <w:autoSpaceDE w:val="0"/>
        <w:autoSpaceDN w:val="0"/>
        <w:adjustRightInd w:val="0"/>
        <w:spacing w:line="360" w:lineRule="auto"/>
        <w:rPr>
          <w:rFonts w:ascii="Arial" w:hAnsi="Arial" w:cs="Arial"/>
          <w:color w:val="000000"/>
        </w:rPr>
      </w:pPr>
    </w:p>
    <w:p w14:paraId="277FD8B1" w14:textId="1150D5B7" w:rsidR="00FF0A3F" w:rsidRDefault="00496D0B" w:rsidP="00AF0A00">
      <w:pPr>
        <w:autoSpaceDE w:val="0"/>
        <w:autoSpaceDN w:val="0"/>
        <w:adjustRightInd w:val="0"/>
        <w:spacing w:line="360" w:lineRule="auto"/>
        <w:rPr>
          <w:rFonts w:ascii="Arial" w:eastAsia="Arial" w:hAnsi="Arial" w:cs="Arial"/>
          <w:color w:val="000000" w:themeColor="text1"/>
        </w:rPr>
      </w:pPr>
      <w:r>
        <w:rPr>
          <w:rFonts w:ascii="Arial" w:eastAsia="Arial" w:hAnsi="Arial" w:cs="Arial"/>
          <w:color w:val="000000" w:themeColor="text1"/>
        </w:rPr>
        <w:t xml:space="preserve">Table </w:t>
      </w:r>
      <w:r w:rsidR="00EA157D">
        <w:rPr>
          <w:rFonts w:ascii="Arial" w:eastAsia="Arial" w:hAnsi="Arial" w:cs="Arial"/>
          <w:color w:val="000000" w:themeColor="text1"/>
        </w:rPr>
        <w:t xml:space="preserve">4 </w:t>
      </w:r>
      <w:r w:rsidR="51E9A9B4" w:rsidRPr="51E9A9B4">
        <w:rPr>
          <w:rFonts w:ascii="Arial" w:eastAsia="Arial" w:hAnsi="Arial" w:cs="Arial"/>
          <w:color w:val="000000" w:themeColor="text1"/>
        </w:rPr>
        <w:t xml:space="preserve">provides the </w:t>
      </w:r>
      <w:r w:rsidR="00CD3A81">
        <w:rPr>
          <w:rFonts w:ascii="Arial" w:eastAsia="Arial" w:hAnsi="Arial" w:cs="Arial"/>
          <w:color w:val="000000" w:themeColor="text1"/>
        </w:rPr>
        <w:t>percentage</w:t>
      </w:r>
      <w:r w:rsidR="51E9A9B4" w:rsidRPr="51E9A9B4">
        <w:rPr>
          <w:rFonts w:ascii="Arial" w:eastAsia="Arial" w:hAnsi="Arial" w:cs="Arial"/>
          <w:color w:val="000000" w:themeColor="text1"/>
        </w:rPr>
        <w:t xml:space="preserve"> of women and men working at different pay grades.</w:t>
      </w:r>
      <w:r w:rsidR="00FF0A3F">
        <w:rPr>
          <w:rFonts w:ascii="Arial" w:eastAsia="Arial" w:hAnsi="Arial" w:cs="Arial"/>
          <w:color w:val="000000" w:themeColor="text1"/>
        </w:rPr>
        <w:t xml:space="preserve"> GP/GDP Educators, CRUMP and Consultants are medical and dental educational posts at senior level on the medical and dental pay</w:t>
      </w:r>
      <w:r w:rsidR="005F7A29">
        <w:rPr>
          <w:rFonts w:ascii="Arial" w:eastAsia="Arial" w:hAnsi="Arial" w:cs="Arial"/>
          <w:color w:val="000000" w:themeColor="text1"/>
        </w:rPr>
        <w:t xml:space="preserve"> </w:t>
      </w:r>
      <w:r w:rsidR="00FF0A3F">
        <w:rPr>
          <w:rFonts w:ascii="Arial" w:eastAsia="Arial" w:hAnsi="Arial" w:cs="Arial"/>
          <w:color w:val="000000" w:themeColor="text1"/>
        </w:rPr>
        <w:t>scales.</w:t>
      </w:r>
    </w:p>
    <w:p w14:paraId="277FD8B2" w14:textId="77777777" w:rsidR="00FF0A3F" w:rsidRDefault="00FF0A3F" w:rsidP="00AF0A00">
      <w:pPr>
        <w:autoSpaceDE w:val="0"/>
        <w:autoSpaceDN w:val="0"/>
        <w:adjustRightInd w:val="0"/>
        <w:spacing w:line="360" w:lineRule="auto"/>
        <w:rPr>
          <w:rFonts w:ascii="Arial" w:eastAsia="Arial" w:hAnsi="Arial" w:cs="Arial"/>
          <w:color w:val="000000" w:themeColor="text1"/>
        </w:rPr>
      </w:pPr>
    </w:p>
    <w:p w14:paraId="277FD8B3" w14:textId="12E320D4" w:rsidR="002B42A4" w:rsidRDefault="00496D0B" w:rsidP="00AF0A00">
      <w:pPr>
        <w:autoSpaceDE w:val="0"/>
        <w:autoSpaceDN w:val="0"/>
        <w:adjustRightInd w:val="0"/>
        <w:spacing w:line="360" w:lineRule="auto"/>
        <w:rPr>
          <w:rFonts w:ascii="Arial" w:eastAsia="Arial" w:hAnsi="Arial" w:cs="Arial"/>
          <w:color w:val="000000" w:themeColor="text1"/>
        </w:rPr>
      </w:pPr>
      <w:r>
        <w:rPr>
          <w:rFonts w:ascii="Arial" w:eastAsia="Arial" w:hAnsi="Arial" w:cs="Arial"/>
          <w:color w:val="000000" w:themeColor="text1"/>
        </w:rPr>
        <w:t xml:space="preserve">Table </w:t>
      </w:r>
      <w:r w:rsidR="00FF0A3F">
        <w:rPr>
          <w:rFonts w:ascii="Arial" w:eastAsia="Arial" w:hAnsi="Arial" w:cs="Arial"/>
          <w:color w:val="000000" w:themeColor="text1"/>
        </w:rPr>
        <w:t>4</w:t>
      </w:r>
      <w:r w:rsidR="51E9A9B4" w:rsidRPr="51E9A9B4">
        <w:rPr>
          <w:rFonts w:ascii="Arial" w:eastAsia="Arial" w:hAnsi="Arial" w:cs="Arial"/>
          <w:color w:val="000000" w:themeColor="text1"/>
        </w:rPr>
        <w:t xml:space="preserve"> also provides the percentage of women or men (expressed as a percentage of total staff) who are working in posts at that grade. </w:t>
      </w:r>
      <w:r w:rsidR="00546D73">
        <w:rPr>
          <w:rFonts w:ascii="Arial" w:eastAsia="Arial" w:hAnsi="Arial" w:cs="Arial"/>
          <w:color w:val="000000" w:themeColor="text1"/>
        </w:rPr>
        <w:t>For example</w:t>
      </w:r>
      <w:r w:rsidR="51E9A9B4" w:rsidRPr="51E9A9B4">
        <w:rPr>
          <w:rFonts w:ascii="Arial" w:eastAsia="Arial" w:hAnsi="Arial" w:cs="Arial"/>
          <w:color w:val="000000" w:themeColor="text1"/>
        </w:rPr>
        <w:t>, 10</w:t>
      </w:r>
      <w:r w:rsidR="00546D73">
        <w:rPr>
          <w:rFonts w:ascii="Arial" w:eastAsia="Arial" w:hAnsi="Arial" w:cs="Arial"/>
          <w:color w:val="000000" w:themeColor="text1"/>
        </w:rPr>
        <w:t>1</w:t>
      </w:r>
      <w:r w:rsidR="51E9A9B4" w:rsidRPr="51E9A9B4">
        <w:rPr>
          <w:rFonts w:ascii="Arial" w:eastAsia="Arial" w:hAnsi="Arial" w:cs="Arial"/>
          <w:color w:val="000000" w:themeColor="text1"/>
        </w:rPr>
        <w:t xml:space="preserve"> women are employed in A4C band 5 posts, which accounts for </w:t>
      </w:r>
      <w:r w:rsidR="00546D73">
        <w:rPr>
          <w:rFonts w:ascii="Arial" w:eastAsia="Arial" w:hAnsi="Arial" w:cs="Arial"/>
          <w:color w:val="000000" w:themeColor="text1"/>
        </w:rPr>
        <w:t>12.4</w:t>
      </w:r>
      <w:r w:rsidR="51E9A9B4" w:rsidRPr="51E9A9B4">
        <w:rPr>
          <w:rFonts w:ascii="Arial" w:eastAsia="Arial" w:hAnsi="Arial" w:cs="Arial"/>
          <w:color w:val="000000" w:themeColor="text1"/>
        </w:rPr>
        <w:t xml:space="preserve">% of women employed by NES. </w:t>
      </w:r>
    </w:p>
    <w:p w14:paraId="277FD8B4" w14:textId="77777777" w:rsidR="001A3CE1" w:rsidRDefault="001A3CE1" w:rsidP="00AF0A00">
      <w:pPr>
        <w:autoSpaceDE w:val="0"/>
        <w:autoSpaceDN w:val="0"/>
        <w:adjustRightInd w:val="0"/>
        <w:spacing w:line="360" w:lineRule="auto"/>
        <w:rPr>
          <w:rFonts w:ascii="Arial" w:hAnsi="Arial" w:cs="Arial"/>
          <w:color w:val="000000"/>
        </w:rPr>
      </w:pPr>
    </w:p>
    <w:p w14:paraId="3BA39420" w14:textId="5B53D96E" w:rsidR="00CA6D97" w:rsidRDefault="51E9A9B4" w:rsidP="0095013A">
      <w:pPr>
        <w:autoSpaceDE w:val="0"/>
        <w:autoSpaceDN w:val="0"/>
        <w:adjustRightInd w:val="0"/>
        <w:spacing w:line="360" w:lineRule="auto"/>
        <w:rPr>
          <w:rFonts w:ascii="Arial" w:eastAsia="Arial" w:hAnsi="Arial" w:cs="Arial"/>
          <w:color w:val="000000" w:themeColor="text1"/>
        </w:rPr>
      </w:pPr>
      <w:r w:rsidRPr="51E9A9B4">
        <w:rPr>
          <w:rFonts w:ascii="Arial" w:eastAsia="Arial" w:hAnsi="Arial" w:cs="Arial"/>
          <w:color w:val="000000" w:themeColor="text1"/>
        </w:rPr>
        <w:t xml:space="preserve">Although women are well represented at all levels of the organisation – including at the most senior levels - the highest percentages of women are employed at bands 5, 4, and 7. </w:t>
      </w:r>
      <w:r w:rsidR="00BE3048">
        <w:rPr>
          <w:rFonts w:ascii="Arial" w:eastAsia="Arial" w:hAnsi="Arial" w:cs="Arial"/>
          <w:color w:val="000000" w:themeColor="text1"/>
        </w:rPr>
        <w:t>Women are particularly over-represented</w:t>
      </w:r>
      <w:r w:rsidR="00122E8E">
        <w:rPr>
          <w:rFonts w:ascii="Arial" w:eastAsia="Arial" w:hAnsi="Arial" w:cs="Arial"/>
          <w:color w:val="000000" w:themeColor="text1"/>
        </w:rPr>
        <w:t>, and men particularly under-represented</w:t>
      </w:r>
      <w:r w:rsidR="00BE3048">
        <w:rPr>
          <w:rFonts w:ascii="Arial" w:eastAsia="Arial" w:hAnsi="Arial" w:cs="Arial"/>
          <w:color w:val="000000" w:themeColor="text1"/>
        </w:rPr>
        <w:t xml:space="preserve"> in </w:t>
      </w:r>
      <w:r w:rsidR="00F473C1">
        <w:rPr>
          <w:rFonts w:ascii="Arial" w:eastAsia="Arial" w:hAnsi="Arial" w:cs="Arial"/>
          <w:color w:val="000000" w:themeColor="text1"/>
        </w:rPr>
        <w:t>administrative roles within bands 4-5</w:t>
      </w:r>
      <w:r w:rsidRPr="51E9A9B4">
        <w:rPr>
          <w:rFonts w:ascii="Arial" w:eastAsia="Arial" w:hAnsi="Arial" w:cs="Arial"/>
          <w:color w:val="000000" w:themeColor="text1"/>
        </w:rPr>
        <w:t xml:space="preserve">. </w:t>
      </w:r>
    </w:p>
    <w:p w14:paraId="62ED1430" w14:textId="77777777" w:rsidR="0025332A" w:rsidRDefault="0025332A" w:rsidP="0095013A">
      <w:pPr>
        <w:autoSpaceDE w:val="0"/>
        <w:autoSpaceDN w:val="0"/>
        <w:adjustRightInd w:val="0"/>
        <w:spacing w:line="360" w:lineRule="auto"/>
        <w:rPr>
          <w:rFonts w:ascii="Arial" w:eastAsia="Arial" w:hAnsi="Arial" w:cs="Arial"/>
          <w:color w:val="000000" w:themeColor="text1"/>
        </w:rPr>
      </w:pPr>
    </w:p>
    <w:p w14:paraId="4FA79FEB" w14:textId="0E125490" w:rsidR="00177891" w:rsidRDefault="51E9A9B4" w:rsidP="0095013A">
      <w:pPr>
        <w:autoSpaceDE w:val="0"/>
        <w:autoSpaceDN w:val="0"/>
        <w:adjustRightInd w:val="0"/>
        <w:spacing w:line="360" w:lineRule="auto"/>
        <w:rPr>
          <w:rFonts w:ascii="Arial" w:eastAsia="Arial" w:hAnsi="Arial" w:cs="Arial"/>
          <w:color w:val="000000" w:themeColor="text1"/>
        </w:rPr>
      </w:pPr>
      <w:r w:rsidRPr="51E9A9B4">
        <w:rPr>
          <w:rFonts w:ascii="Arial" w:eastAsia="Arial" w:hAnsi="Arial" w:cs="Arial"/>
          <w:color w:val="000000" w:themeColor="text1"/>
        </w:rPr>
        <w:t>In contrast, the highest percentage of men is at Consultant GP/GDP Educator level, and within the A4C staff the highest percentage of men occurs at band 7</w:t>
      </w:r>
      <w:r w:rsidR="00F473C1">
        <w:rPr>
          <w:rFonts w:ascii="Arial" w:eastAsia="Arial" w:hAnsi="Arial" w:cs="Arial"/>
          <w:color w:val="000000" w:themeColor="text1"/>
        </w:rPr>
        <w:t xml:space="preserve">, </w:t>
      </w:r>
      <w:r w:rsidR="006E65FA">
        <w:rPr>
          <w:rFonts w:ascii="Arial" w:eastAsia="Arial" w:hAnsi="Arial" w:cs="Arial"/>
          <w:color w:val="000000" w:themeColor="text1"/>
        </w:rPr>
        <w:t xml:space="preserve">which represents a greater </w:t>
      </w:r>
      <w:r w:rsidR="0047443C">
        <w:rPr>
          <w:rFonts w:ascii="Arial" w:eastAsia="Arial" w:hAnsi="Arial" w:cs="Arial"/>
          <w:color w:val="000000" w:themeColor="text1"/>
        </w:rPr>
        <w:t>number of specialist digital and data posts</w:t>
      </w:r>
      <w:r w:rsidRPr="51E9A9B4">
        <w:rPr>
          <w:rFonts w:ascii="Arial" w:eastAsia="Arial" w:hAnsi="Arial" w:cs="Arial"/>
          <w:color w:val="000000" w:themeColor="text1"/>
        </w:rPr>
        <w:t xml:space="preserve">. </w:t>
      </w:r>
    </w:p>
    <w:p w14:paraId="277FD8B6" w14:textId="77777777" w:rsidR="00210787" w:rsidRDefault="00210787" w:rsidP="00AF0A00">
      <w:pPr>
        <w:autoSpaceDE w:val="0"/>
        <w:autoSpaceDN w:val="0"/>
        <w:adjustRightInd w:val="0"/>
        <w:spacing w:line="360" w:lineRule="auto"/>
        <w:rPr>
          <w:rFonts w:ascii="Arial" w:hAnsi="Arial" w:cs="Arial"/>
          <w:color w:val="000000"/>
        </w:rPr>
      </w:pPr>
    </w:p>
    <w:p w14:paraId="237E57BE" w14:textId="1652C3C0" w:rsidR="00001740" w:rsidRPr="008C48EC" w:rsidRDefault="00FF0A3F" w:rsidP="00AF0A00">
      <w:pPr>
        <w:spacing w:line="360" w:lineRule="auto"/>
        <w:rPr>
          <w:rFonts w:ascii="Arial" w:eastAsia="Arial" w:hAnsi="Arial" w:cs="Arial"/>
          <w:color w:val="000000" w:themeColor="text1"/>
        </w:rPr>
      </w:pPr>
      <w:r>
        <w:rPr>
          <w:rFonts w:ascii="Arial" w:eastAsia="Arial" w:hAnsi="Arial" w:cs="Arial"/>
          <w:color w:val="000000" w:themeColor="text1"/>
        </w:rPr>
        <w:lastRenderedPageBreak/>
        <w:t>Table 5</w:t>
      </w:r>
      <w:r w:rsidR="006214D0">
        <w:rPr>
          <w:rFonts w:ascii="Arial" w:eastAsia="Arial" w:hAnsi="Arial" w:cs="Arial"/>
          <w:color w:val="000000" w:themeColor="text1"/>
        </w:rPr>
        <w:t>a</w:t>
      </w:r>
      <w:r w:rsidR="51E9A9B4" w:rsidRPr="51E9A9B4">
        <w:rPr>
          <w:rFonts w:ascii="Arial" w:eastAsia="Arial" w:hAnsi="Arial" w:cs="Arial"/>
          <w:color w:val="000000" w:themeColor="text1"/>
        </w:rPr>
        <w:t xml:space="preserve"> provides information about the distribution of women and men in different types of jobs within NES.</w:t>
      </w:r>
    </w:p>
    <w:p w14:paraId="2817D0FA" w14:textId="77777777" w:rsidR="002B42A4" w:rsidRDefault="002B42A4" w:rsidP="00AF0A00">
      <w:pPr>
        <w:autoSpaceDE w:val="0"/>
        <w:autoSpaceDN w:val="0"/>
        <w:adjustRightInd w:val="0"/>
        <w:spacing w:line="360" w:lineRule="auto"/>
        <w:rPr>
          <w:rFonts w:ascii="Arial" w:eastAsia="Arial" w:hAnsi="Arial" w:cs="Arial"/>
          <w:color w:val="000000" w:themeColor="text1"/>
        </w:rPr>
      </w:pPr>
    </w:p>
    <w:p w14:paraId="277FD8B9" w14:textId="002C5C38" w:rsidR="00423A03" w:rsidRDefault="00423A03" w:rsidP="00AF0A00">
      <w:pPr>
        <w:autoSpaceDE w:val="0"/>
        <w:autoSpaceDN w:val="0"/>
        <w:adjustRightInd w:val="0"/>
        <w:spacing w:line="360" w:lineRule="auto"/>
        <w:rPr>
          <w:rFonts w:ascii="Arial" w:eastAsia="Arial" w:hAnsi="Arial" w:cs="Arial"/>
          <w:color w:val="000000"/>
        </w:rPr>
      </w:pPr>
      <w:r>
        <w:rPr>
          <w:rFonts w:ascii="Arial" w:eastAsia="Arial" w:hAnsi="Arial" w:cs="Arial"/>
          <w:color w:val="000000"/>
        </w:rPr>
        <w:t>Table 5</w:t>
      </w:r>
      <w:r w:rsidR="006214D0">
        <w:rPr>
          <w:rFonts w:ascii="Arial" w:eastAsia="Arial" w:hAnsi="Arial" w:cs="Arial"/>
          <w:color w:val="000000"/>
        </w:rPr>
        <w:t>a</w:t>
      </w:r>
      <w:r>
        <w:rPr>
          <w:rFonts w:ascii="Arial" w:eastAsia="Arial" w:hAnsi="Arial" w:cs="Arial"/>
          <w:color w:val="000000"/>
        </w:rPr>
        <w:t xml:space="preserve">: </w:t>
      </w:r>
      <w:r w:rsidRPr="00423A03">
        <w:rPr>
          <w:rFonts w:ascii="Arial" w:eastAsia="Arial" w:hAnsi="Arial" w:cs="Arial"/>
          <w:color w:val="000000"/>
        </w:rPr>
        <w:t>Occupational Segregation by</w:t>
      </w:r>
      <w:r>
        <w:rPr>
          <w:rFonts w:ascii="Arial" w:eastAsia="Arial" w:hAnsi="Arial" w:cs="Arial"/>
          <w:color w:val="000000"/>
        </w:rPr>
        <w:t xml:space="preserve"> </w:t>
      </w:r>
      <w:r w:rsidR="006077A5">
        <w:rPr>
          <w:rFonts w:ascii="Arial" w:eastAsia="Arial" w:hAnsi="Arial" w:cs="Arial"/>
          <w:color w:val="000000"/>
        </w:rPr>
        <w:t xml:space="preserve">Gender and </w:t>
      </w:r>
      <w:r>
        <w:rPr>
          <w:rFonts w:ascii="Arial" w:eastAsia="Arial" w:hAnsi="Arial" w:cs="Arial"/>
          <w:color w:val="000000"/>
        </w:rPr>
        <w:t>Occupational Group</w:t>
      </w:r>
    </w:p>
    <w:tbl>
      <w:tblPr>
        <w:tblW w:w="7523" w:type="dxa"/>
        <w:tblLayout w:type="fixed"/>
        <w:tblLook w:val="04A0" w:firstRow="1" w:lastRow="0" w:firstColumn="1" w:lastColumn="0" w:noHBand="0" w:noVBand="1"/>
      </w:tblPr>
      <w:tblGrid>
        <w:gridCol w:w="4101"/>
        <w:gridCol w:w="855"/>
        <w:gridCol w:w="856"/>
        <w:gridCol w:w="855"/>
        <w:gridCol w:w="856"/>
      </w:tblGrid>
      <w:tr w:rsidR="00821EF5" w14:paraId="6A903113" w14:textId="77777777" w:rsidTr="008328AA">
        <w:trPr>
          <w:trHeight w:val="315"/>
        </w:trPr>
        <w:tc>
          <w:tcPr>
            <w:tcW w:w="4101" w:type="dxa"/>
            <w:vMerge w:val="restart"/>
            <w:tcBorders>
              <w:top w:val="single" w:sz="12" w:space="0" w:color="auto"/>
              <w:left w:val="single" w:sz="12" w:space="0" w:color="auto"/>
              <w:right w:val="nil"/>
            </w:tcBorders>
            <w:shd w:val="clear" w:color="D9E1F2" w:fill="D9E1F2"/>
            <w:noWrap/>
            <w:vAlign w:val="center"/>
            <w:hideMark/>
          </w:tcPr>
          <w:p w14:paraId="48B785B4" w14:textId="34BA731C" w:rsidR="00821EF5" w:rsidRDefault="00821EF5" w:rsidP="00821EF5">
            <w:pPr>
              <w:rPr>
                <w:rFonts w:ascii="Calibri" w:hAnsi="Calibri" w:cs="Calibri"/>
                <w:b/>
                <w:bCs/>
                <w:color w:val="000000"/>
                <w:sz w:val="22"/>
                <w:szCs w:val="22"/>
              </w:rPr>
            </w:pPr>
            <w:r>
              <w:rPr>
                <w:rFonts w:ascii="Calibri" w:hAnsi="Calibri" w:cs="Calibri"/>
                <w:b/>
                <w:bCs/>
                <w:color w:val="000000"/>
                <w:sz w:val="22"/>
                <w:szCs w:val="22"/>
              </w:rPr>
              <w:t>Occupational Group</w:t>
            </w:r>
          </w:p>
        </w:tc>
        <w:tc>
          <w:tcPr>
            <w:tcW w:w="1711" w:type="dxa"/>
            <w:gridSpan w:val="2"/>
            <w:tcBorders>
              <w:top w:val="single" w:sz="12" w:space="0" w:color="auto"/>
              <w:left w:val="single" w:sz="4" w:space="0" w:color="auto"/>
              <w:bottom w:val="nil"/>
              <w:right w:val="single" w:sz="4" w:space="0" w:color="000000"/>
            </w:tcBorders>
            <w:shd w:val="clear" w:color="D9E1F2" w:fill="D9E1F2"/>
            <w:noWrap/>
            <w:vAlign w:val="bottom"/>
            <w:hideMark/>
          </w:tcPr>
          <w:p w14:paraId="43912D39" w14:textId="77777777" w:rsidR="00821EF5" w:rsidRDefault="00821EF5">
            <w:pPr>
              <w:jc w:val="center"/>
              <w:rPr>
                <w:rFonts w:ascii="Calibri" w:hAnsi="Calibri" w:cs="Calibri"/>
                <w:b/>
                <w:bCs/>
                <w:color w:val="000000"/>
                <w:sz w:val="22"/>
                <w:szCs w:val="22"/>
              </w:rPr>
            </w:pPr>
            <w:r>
              <w:rPr>
                <w:rFonts w:ascii="Calibri" w:hAnsi="Calibri" w:cs="Calibri"/>
                <w:b/>
                <w:bCs/>
                <w:color w:val="000000"/>
                <w:sz w:val="22"/>
                <w:szCs w:val="22"/>
              </w:rPr>
              <w:t>Male</w:t>
            </w:r>
          </w:p>
        </w:tc>
        <w:tc>
          <w:tcPr>
            <w:tcW w:w="1711" w:type="dxa"/>
            <w:gridSpan w:val="2"/>
            <w:tcBorders>
              <w:top w:val="single" w:sz="12" w:space="0" w:color="auto"/>
              <w:left w:val="nil"/>
              <w:bottom w:val="nil"/>
              <w:right w:val="single" w:sz="12" w:space="0" w:color="auto"/>
            </w:tcBorders>
            <w:shd w:val="clear" w:color="D9E1F2" w:fill="D9E1F2"/>
            <w:noWrap/>
            <w:vAlign w:val="bottom"/>
            <w:hideMark/>
          </w:tcPr>
          <w:p w14:paraId="3380AD96" w14:textId="77777777" w:rsidR="00821EF5" w:rsidRDefault="00821EF5">
            <w:pPr>
              <w:jc w:val="center"/>
              <w:rPr>
                <w:rFonts w:ascii="Calibri" w:hAnsi="Calibri" w:cs="Calibri"/>
                <w:b/>
                <w:bCs/>
                <w:color w:val="000000"/>
                <w:sz w:val="22"/>
                <w:szCs w:val="22"/>
              </w:rPr>
            </w:pPr>
            <w:r>
              <w:rPr>
                <w:rFonts w:ascii="Calibri" w:hAnsi="Calibri" w:cs="Calibri"/>
                <w:b/>
                <w:bCs/>
                <w:color w:val="000000"/>
                <w:sz w:val="22"/>
                <w:szCs w:val="22"/>
              </w:rPr>
              <w:t>Female</w:t>
            </w:r>
          </w:p>
        </w:tc>
      </w:tr>
      <w:tr w:rsidR="00821EF5" w14:paraId="687FE10C" w14:textId="77777777" w:rsidTr="008328AA">
        <w:trPr>
          <w:trHeight w:val="315"/>
        </w:trPr>
        <w:tc>
          <w:tcPr>
            <w:tcW w:w="4101" w:type="dxa"/>
            <w:vMerge/>
            <w:tcBorders>
              <w:left w:val="single" w:sz="12" w:space="0" w:color="auto"/>
              <w:bottom w:val="single" w:sz="4" w:space="0" w:color="8EA9DB"/>
              <w:right w:val="nil"/>
            </w:tcBorders>
            <w:shd w:val="clear" w:color="D9E1F2" w:fill="D9E1F2"/>
            <w:noWrap/>
            <w:vAlign w:val="bottom"/>
            <w:hideMark/>
          </w:tcPr>
          <w:p w14:paraId="38B7A116" w14:textId="10675074" w:rsidR="00821EF5" w:rsidRDefault="00821EF5">
            <w:pPr>
              <w:rPr>
                <w:rFonts w:ascii="Calibri" w:hAnsi="Calibri" w:cs="Calibri"/>
                <w:b/>
                <w:bCs/>
                <w:color w:val="000000"/>
                <w:sz w:val="22"/>
                <w:szCs w:val="22"/>
              </w:rPr>
            </w:pPr>
          </w:p>
        </w:tc>
        <w:tc>
          <w:tcPr>
            <w:tcW w:w="855" w:type="dxa"/>
            <w:tcBorders>
              <w:top w:val="nil"/>
              <w:left w:val="single" w:sz="4" w:space="0" w:color="auto"/>
              <w:bottom w:val="single" w:sz="4" w:space="0" w:color="8EA9DB"/>
              <w:right w:val="nil"/>
            </w:tcBorders>
            <w:shd w:val="clear" w:color="D9E1F2" w:fill="D9E1F2"/>
            <w:noWrap/>
            <w:vAlign w:val="bottom"/>
            <w:hideMark/>
          </w:tcPr>
          <w:p w14:paraId="77AB9424" w14:textId="77777777" w:rsidR="00821EF5" w:rsidRDefault="00821EF5">
            <w:pPr>
              <w:jc w:val="center"/>
              <w:rPr>
                <w:rFonts w:ascii="Calibri" w:hAnsi="Calibri" w:cs="Calibri"/>
                <w:b/>
                <w:bCs/>
                <w:color w:val="000000"/>
                <w:sz w:val="22"/>
                <w:szCs w:val="22"/>
              </w:rPr>
            </w:pPr>
            <w:r>
              <w:rPr>
                <w:rFonts w:ascii="Calibri" w:hAnsi="Calibri" w:cs="Calibri"/>
                <w:b/>
                <w:bCs/>
                <w:color w:val="000000"/>
                <w:sz w:val="22"/>
                <w:szCs w:val="22"/>
              </w:rPr>
              <w:t>N</w:t>
            </w:r>
          </w:p>
        </w:tc>
        <w:tc>
          <w:tcPr>
            <w:tcW w:w="856" w:type="dxa"/>
            <w:tcBorders>
              <w:top w:val="nil"/>
              <w:left w:val="nil"/>
              <w:bottom w:val="single" w:sz="4" w:space="0" w:color="8EA9DB"/>
              <w:right w:val="single" w:sz="4" w:space="0" w:color="auto"/>
            </w:tcBorders>
            <w:shd w:val="clear" w:color="D9E1F2" w:fill="D9E1F2"/>
            <w:noWrap/>
            <w:vAlign w:val="bottom"/>
            <w:hideMark/>
          </w:tcPr>
          <w:p w14:paraId="0C5F3067" w14:textId="77777777" w:rsidR="00821EF5" w:rsidRDefault="00821EF5">
            <w:pPr>
              <w:jc w:val="center"/>
              <w:rPr>
                <w:rFonts w:ascii="Calibri" w:hAnsi="Calibri" w:cs="Calibri"/>
                <w:b/>
                <w:bCs/>
                <w:color w:val="000000"/>
                <w:sz w:val="22"/>
                <w:szCs w:val="22"/>
              </w:rPr>
            </w:pPr>
            <w:r>
              <w:rPr>
                <w:rFonts w:ascii="Calibri" w:hAnsi="Calibri" w:cs="Calibri"/>
                <w:b/>
                <w:bCs/>
                <w:color w:val="000000"/>
                <w:sz w:val="22"/>
                <w:szCs w:val="22"/>
              </w:rPr>
              <w:t>%</w:t>
            </w:r>
          </w:p>
        </w:tc>
        <w:tc>
          <w:tcPr>
            <w:tcW w:w="855" w:type="dxa"/>
            <w:tcBorders>
              <w:top w:val="nil"/>
              <w:left w:val="nil"/>
              <w:bottom w:val="single" w:sz="4" w:space="0" w:color="8EA9DB"/>
              <w:right w:val="nil"/>
            </w:tcBorders>
            <w:shd w:val="clear" w:color="D9E1F2" w:fill="D9E1F2"/>
            <w:noWrap/>
            <w:vAlign w:val="bottom"/>
            <w:hideMark/>
          </w:tcPr>
          <w:p w14:paraId="3AD094B1" w14:textId="77777777" w:rsidR="00821EF5" w:rsidRDefault="00821EF5">
            <w:pPr>
              <w:jc w:val="center"/>
              <w:rPr>
                <w:rFonts w:ascii="Calibri" w:hAnsi="Calibri" w:cs="Calibri"/>
                <w:b/>
                <w:bCs/>
                <w:color w:val="000000"/>
                <w:sz w:val="22"/>
                <w:szCs w:val="22"/>
              </w:rPr>
            </w:pPr>
            <w:r>
              <w:rPr>
                <w:rFonts w:ascii="Calibri" w:hAnsi="Calibri" w:cs="Calibri"/>
                <w:b/>
                <w:bCs/>
                <w:color w:val="000000"/>
                <w:sz w:val="22"/>
                <w:szCs w:val="22"/>
              </w:rPr>
              <w:t>N</w:t>
            </w:r>
          </w:p>
        </w:tc>
        <w:tc>
          <w:tcPr>
            <w:tcW w:w="856" w:type="dxa"/>
            <w:tcBorders>
              <w:top w:val="nil"/>
              <w:left w:val="nil"/>
              <w:bottom w:val="single" w:sz="4" w:space="0" w:color="8EA9DB"/>
              <w:right w:val="single" w:sz="12" w:space="0" w:color="auto"/>
            </w:tcBorders>
            <w:shd w:val="clear" w:color="D9E1F2" w:fill="D9E1F2"/>
            <w:noWrap/>
            <w:vAlign w:val="bottom"/>
            <w:hideMark/>
          </w:tcPr>
          <w:p w14:paraId="6EE529C2" w14:textId="77777777" w:rsidR="00821EF5" w:rsidRDefault="00821EF5">
            <w:pPr>
              <w:jc w:val="center"/>
              <w:rPr>
                <w:rFonts w:ascii="Calibri" w:hAnsi="Calibri" w:cs="Calibri"/>
                <w:b/>
                <w:bCs/>
                <w:color w:val="000000"/>
                <w:sz w:val="22"/>
                <w:szCs w:val="22"/>
              </w:rPr>
            </w:pPr>
            <w:r>
              <w:rPr>
                <w:rFonts w:ascii="Calibri" w:hAnsi="Calibri" w:cs="Calibri"/>
                <w:b/>
                <w:bCs/>
                <w:color w:val="000000"/>
                <w:sz w:val="22"/>
                <w:szCs w:val="22"/>
              </w:rPr>
              <w:t>%</w:t>
            </w:r>
          </w:p>
        </w:tc>
      </w:tr>
      <w:tr w:rsidR="00821EF5" w14:paraId="33279664" w14:textId="77777777" w:rsidTr="008328AA">
        <w:trPr>
          <w:trHeight w:val="315"/>
        </w:trPr>
        <w:tc>
          <w:tcPr>
            <w:tcW w:w="4101" w:type="dxa"/>
            <w:tcBorders>
              <w:top w:val="nil"/>
              <w:left w:val="single" w:sz="12" w:space="0" w:color="auto"/>
              <w:bottom w:val="nil"/>
              <w:right w:val="nil"/>
            </w:tcBorders>
            <w:shd w:val="clear" w:color="auto" w:fill="auto"/>
            <w:noWrap/>
            <w:vAlign w:val="bottom"/>
            <w:hideMark/>
          </w:tcPr>
          <w:p w14:paraId="0CE98704" w14:textId="77777777" w:rsidR="00821EF5" w:rsidRDefault="00821EF5">
            <w:pPr>
              <w:rPr>
                <w:rFonts w:ascii="Calibri" w:hAnsi="Calibri" w:cs="Calibri"/>
                <w:color w:val="000000"/>
                <w:sz w:val="22"/>
                <w:szCs w:val="22"/>
              </w:rPr>
            </w:pPr>
            <w:r>
              <w:rPr>
                <w:rFonts w:ascii="Calibri" w:hAnsi="Calibri" w:cs="Calibri"/>
                <w:color w:val="000000"/>
                <w:sz w:val="22"/>
                <w:szCs w:val="22"/>
              </w:rPr>
              <w:t>Administrative Services</w:t>
            </w:r>
          </w:p>
        </w:tc>
        <w:tc>
          <w:tcPr>
            <w:tcW w:w="855" w:type="dxa"/>
            <w:tcBorders>
              <w:top w:val="nil"/>
              <w:left w:val="single" w:sz="4" w:space="0" w:color="auto"/>
              <w:bottom w:val="nil"/>
              <w:right w:val="nil"/>
            </w:tcBorders>
            <w:shd w:val="clear" w:color="auto" w:fill="auto"/>
            <w:noWrap/>
            <w:vAlign w:val="bottom"/>
            <w:hideMark/>
          </w:tcPr>
          <w:p w14:paraId="75ED6F61"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33</w:t>
            </w:r>
          </w:p>
        </w:tc>
        <w:tc>
          <w:tcPr>
            <w:tcW w:w="856" w:type="dxa"/>
            <w:tcBorders>
              <w:top w:val="nil"/>
              <w:left w:val="nil"/>
              <w:bottom w:val="nil"/>
              <w:right w:val="single" w:sz="4" w:space="0" w:color="auto"/>
            </w:tcBorders>
            <w:shd w:val="clear" w:color="auto" w:fill="auto"/>
            <w:noWrap/>
            <w:vAlign w:val="bottom"/>
            <w:hideMark/>
          </w:tcPr>
          <w:p w14:paraId="30D6CEA8"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13.4%</w:t>
            </w:r>
          </w:p>
        </w:tc>
        <w:tc>
          <w:tcPr>
            <w:tcW w:w="855" w:type="dxa"/>
            <w:tcBorders>
              <w:top w:val="nil"/>
              <w:left w:val="nil"/>
              <w:bottom w:val="nil"/>
              <w:right w:val="nil"/>
            </w:tcBorders>
            <w:shd w:val="clear" w:color="auto" w:fill="auto"/>
            <w:noWrap/>
            <w:vAlign w:val="bottom"/>
            <w:hideMark/>
          </w:tcPr>
          <w:p w14:paraId="3BC2C498"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213</w:t>
            </w:r>
          </w:p>
        </w:tc>
        <w:tc>
          <w:tcPr>
            <w:tcW w:w="856" w:type="dxa"/>
            <w:tcBorders>
              <w:top w:val="nil"/>
              <w:left w:val="nil"/>
              <w:bottom w:val="nil"/>
              <w:right w:val="single" w:sz="12" w:space="0" w:color="auto"/>
            </w:tcBorders>
            <w:shd w:val="clear" w:color="auto" w:fill="auto"/>
            <w:noWrap/>
            <w:vAlign w:val="bottom"/>
            <w:hideMark/>
          </w:tcPr>
          <w:p w14:paraId="39FCD296"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86.6%</w:t>
            </w:r>
          </w:p>
        </w:tc>
      </w:tr>
      <w:tr w:rsidR="00821EF5" w14:paraId="62E7FE2D" w14:textId="77777777" w:rsidTr="008328AA">
        <w:trPr>
          <w:trHeight w:val="315"/>
        </w:trPr>
        <w:tc>
          <w:tcPr>
            <w:tcW w:w="4101" w:type="dxa"/>
            <w:tcBorders>
              <w:top w:val="nil"/>
              <w:left w:val="single" w:sz="12" w:space="0" w:color="auto"/>
              <w:bottom w:val="nil"/>
              <w:right w:val="nil"/>
            </w:tcBorders>
            <w:shd w:val="clear" w:color="auto" w:fill="auto"/>
            <w:noWrap/>
            <w:vAlign w:val="bottom"/>
            <w:hideMark/>
          </w:tcPr>
          <w:p w14:paraId="10C14243" w14:textId="77777777" w:rsidR="00821EF5" w:rsidRDefault="00821EF5">
            <w:pPr>
              <w:rPr>
                <w:rFonts w:ascii="Calibri" w:hAnsi="Calibri" w:cs="Calibri"/>
                <w:color w:val="000000"/>
                <w:sz w:val="22"/>
                <w:szCs w:val="22"/>
              </w:rPr>
            </w:pPr>
            <w:r>
              <w:rPr>
                <w:rFonts w:ascii="Calibri" w:hAnsi="Calibri" w:cs="Calibri"/>
                <w:color w:val="000000"/>
                <w:sz w:val="22"/>
                <w:szCs w:val="22"/>
              </w:rPr>
              <w:t>Communications</w:t>
            </w:r>
          </w:p>
        </w:tc>
        <w:tc>
          <w:tcPr>
            <w:tcW w:w="855" w:type="dxa"/>
            <w:tcBorders>
              <w:top w:val="nil"/>
              <w:left w:val="single" w:sz="4" w:space="0" w:color="auto"/>
              <w:bottom w:val="nil"/>
              <w:right w:val="nil"/>
            </w:tcBorders>
            <w:shd w:val="clear" w:color="auto" w:fill="auto"/>
            <w:noWrap/>
            <w:vAlign w:val="bottom"/>
            <w:hideMark/>
          </w:tcPr>
          <w:p w14:paraId="6117C633" w14:textId="2FCF0994" w:rsidR="00821EF5" w:rsidRDefault="008F064F">
            <w:pPr>
              <w:jc w:val="center"/>
              <w:rPr>
                <w:rFonts w:ascii="Calibri" w:hAnsi="Calibri" w:cs="Calibri"/>
                <w:color w:val="000000"/>
                <w:sz w:val="22"/>
                <w:szCs w:val="22"/>
              </w:rPr>
            </w:pPr>
            <w:r>
              <w:rPr>
                <w:rFonts w:ascii="Calibri" w:hAnsi="Calibri" w:cs="Calibri"/>
                <w:color w:val="000000"/>
                <w:sz w:val="22"/>
                <w:szCs w:val="22"/>
              </w:rPr>
              <w:t>*</w:t>
            </w:r>
          </w:p>
        </w:tc>
        <w:tc>
          <w:tcPr>
            <w:tcW w:w="856" w:type="dxa"/>
            <w:tcBorders>
              <w:top w:val="nil"/>
              <w:left w:val="nil"/>
              <w:bottom w:val="nil"/>
              <w:right w:val="single" w:sz="4" w:space="0" w:color="auto"/>
            </w:tcBorders>
            <w:shd w:val="clear" w:color="auto" w:fill="auto"/>
            <w:noWrap/>
            <w:vAlign w:val="bottom"/>
            <w:hideMark/>
          </w:tcPr>
          <w:p w14:paraId="681B85C4"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23.5%</w:t>
            </w:r>
          </w:p>
        </w:tc>
        <w:tc>
          <w:tcPr>
            <w:tcW w:w="855" w:type="dxa"/>
            <w:tcBorders>
              <w:top w:val="nil"/>
              <w:left w:val="nil"/>
              <w:bottom w:val="nil"/>
              <w:right w:val="nil"/>
            </w:tcBorders>
            <w:shd w:val="clear" w:color="auto" w:fill="auto"/>
            <w:noWrap/>
            <w:vAlign w:val="bottom"/>
            <w:hideMark/>
          </w:tcPr>
          <w:p w14:paraId="02E797FC"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13</w:t>
            </w:r>
          </w:p>
        </w:tc>
        <w:tc>
          <w:tcPr>
            <w:tcW w:w="856" w:type="dxa"/>
            <w:tcBorders>
              <w:top w:val="nil"/>
              <w:left w:val="nil"/>
              <w:bottom w:val="nil"/>
              <w:right w:val="single" w:sz="12" w:space="0" w:color="auto"/>
            </w:tcBorders>
            <w:shd w:val="clear" w:color="auto" w:fill="auto"/>
            <w:noWrap/>
            <w:vAlign w:val="bottom"/>
            <w:hideMark/>
          </w:tcPr>
          <w:p w14:paraId="09BE419E"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76.5%</w:t>
            </w:r>
          </w:p>
        </w:tc>
      </w:tr>
      <w:tr w:rsidR="00821EF5" w14:paraId="2B8D0281" w14:textId="77777777" w:rsidTr="008328AA">
        <w:trPr>
          <w:trHeight w:val="315"/>
        </w:trPr>
        <w:tc>
          <w:tcPr>
            <w:tcW w:w="4101" w:type="dxa"/>
            <w:tcBorders>
              <w:top w:val="nil"/>
              <w:left w:val="single" w:sz="12" w:space="0" w:color="auto"/>
              <w:bottom w:val="nil"/>
              <w:right w:val="nil"/>
            </w:tcBorders>
            <w:shd w:val="clear" w:color="auto" w:fill="auto"/>
            <w:noWrap/>
            <w:vAlign w:val="bottom"/>
            <w:hideMark/>
          </w:tcPr>
          <w:p w14:paraId="790EE285" w14:textId="77777777" w:rsidR="00821EF5" w:rsidRDefault="00821EF5">
            <w:pPr>
              <w:rPr>
                <w:rFonts w:ascii="Calibri" w:hAnsi="Calibri" w:cs="Calibri"/>
                <w:color w:val="000000"/>
                <w:sz w:val="22"/>
                <w:szCs w:val="22"/>
              </w:rPr>
            </w:pPr>
            <w:r>
              <w:rPr>
                <w:rFonts w:ascii="Calibri" w:hAnsi="Calibri" w:cs="Calibri"/>
                <w:color w:val="000000"/>
                <w:sz w:val="22"/>
                <w:szCs w:val="22"/>
              </w:rPr>
              <w:t>Corporate Services</w:t>
            </w:r>
          </w:p>
        </w:tc>
        <w:tc>
          <w:tcPr>
            <w:tcW w:w="855" w:type="dxa"/>
            <w:tcBorders>
              <w:top w:val="nil"/>
              <w:left w:val="single" w:sz="4" w:space="0" w:color="auto"/>
              <w:bottom w:val="nil"/>
              <w:right w:val="nil"/>
            </w:tcBorders>
            <w:shd w:val="clear" w:color="auto" w:fill="auto"/>
            <w:noWrap/>
            <w:vAlign w:val="bottom"/>
            <w:hideMark/>
          </w:tcPr>
          <w:p w14:paraId="4B150599"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5</w:t>
            </w:r>
          </w:p>
        </w:tc>
        <w:tc>
          <w:tcPr>
            <w:tcW w:w="856" w:type="dxa"/>
            <w:tcBorders>
              <w:top w:val="nil"/>
              <w:left w:val="nil"/>
              <w:bottom w:val="nil"/>
              <w:right w:val="single" w:sz="4" w:space="0" w:color="auto"/>
            </w:tcBorders>
            <w:shd w:val="clear" w:color="auto" w:fill="auto"/>
            <w:noWrap/>
            <w:vAlign w:val="bottom"/>
            <w:hideMark/>
          </w:tcPr>
          <w:p w14:paraId="00848D09"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17.2%</w:t>
            </w:r>
          </w:p>
        </w:tc>
        <w:tc>
          <w:tcPr>
            <w:tcW w:w="855" w:type="dxa"/>
            <w:tcBorders>
              <w:top w:val="nil"/>
              <w:left w:val="nil"/>
              <w:bottom w:val="nil"/>
              <w:right w:val="nil"/>
            </w:tcBorders>
            <w:shd w:val="clear" w:color="auto" w:fill="auto"/>
            <w:noWrap/>
            <w:vAlign w:val="bottom"/>
            <w:hideMark/>
          </w:tcPr>
          <w:p w14:paraId="78234C90"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24</w:t>
            </w:r>
          </w:p>
        </w:tc>
        <w:tc>
          <w:tcPr>
            <w:tcW w:w="856" w:type="dxa"/>
            <w:tcBorders>
              <w:top w:val="nil"/>
              <w:left w:val="nil"/>
              <w:bottom w:val="nil"/>
              <w:right w:val="single" w:sz="12" w:space="0" w:color="auto"/>
            </w:tcBorders>
            <w:shd w:val="clear" w:color="auto" w:fill="auto"/>
            <w:noWrap/>
            <w:vAlign w:val="bottom"/>
            <w:hideMark/>
          </w:tcPr>
          <w:p w14:paraId="7D3D164A"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82.8%</w:t>
            </w:r>
          </w:p>
        </w:tc>
      </w:tr>
      <w:tr w:rsidR="00821EF5" w14:paraId="167613FF" w14:textId="77777777" w:rsidTr="008328AA">
        <w:trPr>
          <w:trHeight w:val="315"/>
        </w:trPr>
        <w:tc>
          <w:tcPr>
            <w:tcW w:w="4101" w:type="dxa"/>
            <w:tcBorders>
              <w:top w:val="nil"/>
              <w:left w:val="single" w:sz="12" w:space="0" w:color="auto"/>
              <w:bottom w:val="nil"/>
              <w:right w:val="nil"/>
            </w:tcBorders>
            <w:shd w:val="clear" w:color="auto" w:fill="auto"/>
            <w:noWrap/>
            <w:vAlign w:val="bottom"/>
            <w:hideMark/>
          </w:tcPr>
          <w:p w14:paraId="5BA5DECF" w14:textId="77777777" w:rsidR="00821EF5" w:rsidRDefault="00821EF5">
            <w:pPr>
              <w:rPr>
                <w:rFonts w:ascii="Calibri" w:hAnsi="Calibri" w:cs="Calibri"/>
                <w:color w:val="000000"/>
                <w:sz w:val="22"/>
                <w:szCs w:val="22"/>
              </w:rPr>
            </w:pPr>
            <w:r>
              <w:rPr>
                <w:rFonts w:ascii="Calibri" w:hAnsi="Calibri" w:cs="Calibri"/>
                <w:color w:val="000000"/>
                <w:sz w:val="22"/>
                <w:szCs w:val="22"/>
              </w:rPr>
              <w:t>Digital</w:t>
            </w:r>
          </w:p>
        </w:tc>
        <w:tc>
          <w:tcPr>
            <w:tcW w:w="855" w:type="dxa"/>
            <w:tcBorders>
              <w:top w:val="nil"/>
              <w:left w:val="single" w:sz="4" w:space="0" w:color="auto"/>
              <w:bottom w:val="nil"/>
              <w:right w:val="nil"/>
            </w:tcBorders>
            <w:shd w:val="clear" w:color="auto" w:fill="auto"/>
            <w:noWrap/>
            <w:vAlign w:val="bottom"/>
            <w:hideMark/>
          </w:tcPr>
          <w:p w14:paraId="0561A423"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76</w:t>
            </w:r>
          </w:p>
        </w:tc>
        <w:tc>
          <w:tcPr>
            <w:tcW w:w="856" w:type="dxa"/>
            <w:tcBorders>
              <w:top w:val="nil"/>
              <w:left w:val="nil"/>
              <w:bottom w:val="nil"/>
              <w:right w:val="single" w:sz="4" w:space="0" w:color="auto"/>
            </w:tcBorders>
            <w:shd w:val="clear" w:color="auto" w:fill="auto"/>
            <w:noWrap/>
            <w:vAlign w:val="bottom"/>
            <w:hideMark/>
          </w:tcPr>
          <w:p w14:paraId="0DE28CA3"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67.3%</w:t>
            </w:r>
          </w:p>
        </w:tc>
        <w:tc>
          <w:tcPr>
            <w:tcW w:w="855" w:type="dxa"/>
            <w:tcBorders>
              <w:top w:val="nil"/>
              <w:left w:val="nil"/>
              <w:bottom w:val="nil"/>
              <w:right w:val="nil"/>
            </w:tcBorders>
            <w:shd w:val="clear" w:color="auto" w:fill="auto"/>
            <w:noWrap/>
            <w:vAlign w:val="bottom"/>
            <w:hideMark/>
          </w:tcPr>
          <w:p w14:paraId="473A0C5A"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37</w:t>
            </w:r>
          </w:p>
        </w:tc>
        <w:tc>
          <w:tcPr>
            <w:tcW w:w="856" w:type="dxa"/>
            <w:tcBorders>
              <w:top w:val="nil"/>
              <w:left w:val="nil"/>
              <w:bottom w:val="nil"/>
              <w:right w:val="single" w:sz="12" w:space="0" w:color="auto"/>
            </w:tcBorders>
            <w:shd w:val="clear" w:color="auto" w:fill="auto"/>
            <w:noWrap/>
            <w:vAlign w:val="bottom"/>
            <w:hideMark/>
          </w:tcPr>
          <w:p w14:paraId="18F8A8F2"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32.7%</w:t>
            </w:r>
          </w:p>
        </w:tc>
      </w:tr>
      <w:tr w:rsidR="00821EF5" w14:paraId="5318A37C" w14:textId="77777777" w:rsidTr="008328AA">
        <w:trPr>
          <w:trHeight w:val="315"/>
        </w:trPr>
        <w:tc>
          <w:tcPr>
            <w:tcW w:w="4101" w:type="dxa"/>
            <w:tcBorders>
              <w:top w:val="nil"/>
              <w:left w:val="single" w:sz="12" w:space="0" w:color="auto"/>
              <w:bottom w:val="nil"/>
              <w:right w:val="nil"/>
            </w:tcBorders>
            <w:shd w:val="clear" w:color="auto" w:fill="auto"/>
            <w:noWrap/>
            <w:vAlign w:val="bottom"/>
            <w:hideMark/>
          </w:tcPr>
          <w:p w14:paraId="4AE9ED6F" w14:textId="77777777" w:rsidR="00821EF5" w:rsidRDefault="00821EF5">
            <w:pPr>
              <w:rPr>
                <w:rFonts w:ascii="Calibri" w:hAnsi="Calibri" w:cs="Calibri"/>
                <w:color w:val="000000"/>
                <w:sz w:val="22"/>
                <w:szCs w:val="22"/>
              </w:rPr>
            </w:pPr>
            <w:r>
              <w:rPr>
                <w:rFonts w:ascii="Calibri" w:hAnsi="Calibri" w:cs="Calibri"/>
                <w:color w:val="000000"/>
                <w:sz w:val="22"/>
                <w:szCs w:val="22"/>
              </w:rPr>
              <w:t>Directors</w:t>
            </w:r>
          </w:p>
        </w:tc>
        <w:tc>
          <w:tcPr>
            <w:tcW w:w="855" w:type="dxa"/>
            <w:tcBorders>
              <w:top w:val="nil"/>
              <w:left w:val="single" w:sz="4" w:space="0" w:color="auto"/>
              <w:bottom w:val="nil"/>
              <w:right w:val="nil"/>
            </w:tcBorders>
            <w:shd w:val="clear" w:color="auto" w:fill="auto"/>
            <w:noWrap/>
            <w:vAlign w:val="bottom"/>
            <w:hideMark/>
          </w:tcPr>
          <w:p w14:paraId="0B46A653" w14:textId="65C2206D" w:rsidR="00821EF5" w:rsidRDefault="00F957E7">
            <w:pPr>
              <w:jc w:val="center"/>
              <w:rPr>
                <w:rFonts w:ascii="Calibri" w:hAnsi="Calibri" w:cs="Calibri"/>
                <w:color w:val="000000"/>
                <w:sz w:val="22"/>
                <w:szCs w:val="22"/>
              </w:rPr>
            </w:pPr>
            <w:r>
              <w:rPr>
                <w:rFonts w:ascii="Calibri" w:hAnsi="Calibri" w:cs="Calibri"/>
                <w:color w:val="000000"/>
                <w:sz w:val="22"/>
                <w:szCs w:val="22"/>
              </w:rPr>
              <w:t>*</w:t>
            </w:r>
          </w:p>
        </w:tc>
        <w:tc>
          <w:tcPr>
            <w:tcW w:w="856" w:type="dxa"/>
            <w:tcBorders>
              <w:top w:val="nil"/>
              <w:left w:val="nil"/>
              <w:bottom w:val="nil"/>
              <w:right w:val="single" w:sz="4" w:space="0" w:color="auto"/>
            </w:tcBorders>
            <w:shd w:val="clear" w:color="auto" w:fill="auto"/>
            <w:noWrap/>
            <w:vAlign w:val="bottom"/>
            <w:hideMark/>
          </w:tcPr>
          <w:p w14:paraId="30678051"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50.0%</w:t>
            </w:r>
          </w:p>
        </w:tc>
        <w:tc>
          <w:tcPr>
            <w:tcW w:w="855" w:type="dxa"/>
            <w:tcBorders>
              <w:top w:val="nil"/>
              <w:left w:val="nil"/>
              <w:bottom w:val="nil"/>
              <w:right w:val="nil"/>
            </w:tcBorders>
            <w:shd w:val="clear" w:color="auto" w:fill="auto"/>
            <w:noWrap/>
            <w:vAlign w:val="bottom"/>
            <w:hideMark/>
          </w:tcPr>
          <w:p w14:paraId="0DB265D1" w14:textId="6568978F" w:rsidR="00821EF5" w:rsidRDefault="00F957E7">
            <w:pPr>
              <w:jc w:val="center"/>
              <w:rPr>
                <w:rFonts w:ascii="Calibri" w:hAnsi="Calibri" w:cs="Calibri"/>
                <w:color w:val="000000"/>
                <w:sz w:val="22"/>
                <w:szCs w:val="22"/>
              </w:rPr>
            </w:pPr>
            <w:r>
              <w:rPr>
                <w:rFonts w:ascii="Calibri" w:hAnsi="Calibri" w:cs="Calibri"/>
                <w:color w:val="000000"/>
                <w:sz w:val="22"/>
                <w:szCs w:val="22"/>
              </w:rPr>
              <w:t>*</w:t>
            </w:r>
          </w:p>
        </w:tc>
        <w:tc>
          <w:tcPr>
            <w:tcW w:w="856" w:type="dxa"/>
            <w:tcBorders>
              <w:top w:val="nil"/>
              <w:left w:val="nil"/>
              <w:bottom w:val="nil"/>
              <w:right w:val="single" w:sz="12" w:space="0" w:color="auto"/>
            </w:tcBorders>
            <w:shd w:val="clear" w:color="auto" w:fill="auto"/>
            <w:noWrap/>
            <w:vAlign w:val="bottom"/>
            <w:hideMark/>
          </w:tcPr>
          <w:p w14:paraId="0FF8B3DB"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50.0%</w:t>
            </w:r>
          </w:p>
        </w:tc>
      </w:tr>
      <w:tr w:rsidR="00821EF5" w14:paraId="2AA4ACE1" w14:textId="77777777" w:rsidTr="008328AA">
        <w:trPr>
          <w:trHeight w:val="315"/>
        </w:trPr>
        <w:tc>
          <w:tcPr>
            <w:tcW w:w="4101" w:type="dxa"/>
            <w:tcBorders>
              <w:top w:val="nil"/>
              <w:left w:val="single" w:sz="12" w:space="0" w:color="auto"/>
              <w:bottom w:val="nil"/>
              <w:right w:val="nil"/>
            </w:tcBorders>
            <w:shd w:val="clear" w:color="auto" w:fill="auto"/>
            <w:noWrap/>
            <w:vAlign w:val="bottom"/>
            <w:hideMark/>
          </w:tcPr>
          <w:p w14:paraId="7344BE76" w14:textId="77777777" w:rsidR="00821EF5" w:rsidRDefault="00821EF5">
            <w:pPr>
              <w:rPr>
                <w:rFonts w:ascii="Calibri" w:hAnsi="Calibri" w:cs="Calibri"/>
                <w:color w:val="000000"/>
                <w:sz w:val="22"/>
                <w:szCs w:val="22"/>
              </w:rPr>
            </w:pPr>
            <w:r>
              <w:rPr>
                <w:rFonts w:ascii="Calibri" w:hAnsi="Calibri" w:cs="Calibri"/>
                <w:color w:val="000000"/>
                <w:sz w:val="22"/>
                <w:szCs w:val="22"/>
              </w:rPr>
              <w:t>DiTs and Fellows</w:t>
            </w:r>
          </w:p>
        </w:tc>
        <w:tc>
          <w:tcPr>
            <w:tcW w:w="855" w:type="dxa"/>
            <w:tcBorders>
              <w:top w:val="nil"/>
              <w:left w:val="single" w:sz="4" w:space="0" w:color="auto"/>
              <w:bottom w:val="nil"/>
              <w:right w:val="nil"/>
            </w:tcBorders>
            <w:shd w:val="clear" w:color="auto" w:fill="auto"/>
            <w:noWrap/>
            <w:vAlign w:val="bottom"/>
            <w:hideMark/>
          </w:tcPr>
          <w:p w14:paraId="2F4B9CB8"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591</w:t>
            </w:r>
          </w:p>
        </w:tc>
        <w:tc>
          <w:tcPr>
            <w:tcW w:w="856" w:type="dxa"/>
            <w:tcBorders>
              <w:top w:val="nil"/>
              <w:left w:val="nil"/>
              <w:bottom w:val="nil"/>
              <w:right w:val="single" w:sz="4" w:space="0" w:color="auto"/>
            </w:tcBorders>
            <w:shd w:val="clear" w:color="auto" w:fill="auto"/>
            <w:noWrap/>
            <w:vAlign w:val="bottom"/>
            <w:hideMark/>
          </w:tcPr>
          <w:p w14:paraId="02C80F65"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36.4%</w:t>
            </w:r>
          </w:p>
        </w:tc>
        <w:tc>
          <w:tcPr>
            <w:tcW w:w="855" w:type="dxa"/>
            <w:tcBorders>
              <w:top w:val="nil"/>
              <w:left w:val="nil"/>
              <w:bottom w:val="nil"/>
              <w:right w:val="nil"/>
            </w:tcBorders>
            <w:shd w:val="clear" w:color="auto" w:fill="auto"/>
            <w:noWrap/>
            <w:vAlign w:val="bottom"/>
            <w:hideMark/>
          </w:tcPr>
          <w:p w14:paraId="50035348"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1032</w:t>
            </w:r>
          </w:p>
        </w:tc>
        <w:tc>
          <w:tcPr>
            <w:tcW w:w="856" w:type="dxa"/>
            <w:tcBorders>
              <w:top w:val="nil"/>
              <w:left w:val="nil"/>
              <w:bottom w:val="nil"/>
              <w:right w:val="single" w:sz="12" w:space="0" w:color="auto"/>
            </w:tcBorders>
            <w:shd w:val="clear" w:color="auto" w:fill="auto"/>
            <w:noWrap/>
            <w:vAlign w:val="bottom"/>
            <w:hideMark/>
          </w:tcPr>
          <w:p w14:paraId="2A9ED6D7"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63.6%</w:t>
            </w:r>
          </w:p>
        </w:tc>
      </w:tr>
      <w:tr w:rsidR="00821EF5" w14:paraId="1DAAAE98" w14:textId="77777777" w:rsidTr="008328AA">
        <w:trPr>
          <w:trHeight w:val="315"/>
        </w:trPr>
        <w:tc>
          <w:tcPr>
            <w:tcW w:w="4101" w:type="dxa"/>
            <w:tcBorders>
              <w:top w:val="nil"/>
              <w:left w:val="single" w:sz="12" w:space="0" w:color="auto"/>
              <w:bottom w:val="nil"/>
              <w:right w:val="nil"/>
            </w:tcBorders>
            <w:shd w:val="clear" w:color="auto" w:fill="auto"/>
            <w:noWrap/>
            <w:vAlign w:val="bottom"/>
            <w:hideMark/>
          </w:tcPr>
          <w:p w14:paraId="0A89051D" w14:textId="77777777" w:rsidR="00821EF5" w:rsidRDefault="00821EF5">
            <w:pPr>
              <w:rPr>
                <w:rFonts w:ascii="Calibri" w:hAnsi="Calibri" w:cs="Calibri"/>
                <w:color w:val="000000"/>
                <w:sz w:val="22"/>
                <w:szCs w:val="22"/>
              </w:rPr>
            </w:pPr>
            <w:r>
              <w:rPr>
                <w:rFonts w:ascii="Calibri" w:hAnsi="Calibri" w:cs="Calibri"/>
                <w:color w:val="000000"/>
                <w:sz w:val="22"/>
                <w:szCs w:val="22"/>
              </w:rPr>
              <w:t>Education - Agenda for Change</w:t>
            </w:r>
          </w:p>
        </w:tc>
        <w:tc>
          <w:tcPr>
            <w:tcW w:w="855" w:type="dxa"/>
            <w:tcBorders>
              <w:top w:val="nil"/>
              <w:left w:val="single" w:sz="4" w:space="0" w:color="auto"/>
              <w:bottom w:val="nil"/>
              <w:right w:val="nil"/>
            </w:tcBorders>
            <w:shd w:val="clear" w:color="auto" w:fill="auto"/>
            <w:noWrap/>
            <w:vAlign w:val="bottom"/>
            <w:hideMark/>
          </w:tcPr>
          <w:p w14:paraId="4595E70D"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23</w:t>
            </w:r>
          </w:p>
        </w:tc>
        <w:tc>
          <w:tcPr>
            <w:tcW w:w="856" w:type="dxa"/>
            <w:tcBorders>
              <w:top w:val="nil"/>
              <w:left w:val="nil"/>
              <w:bottom w:val="nil"/>
              <w:right w:val="single" w:sz="4" w:space="0" w:color="auto"/>
            </w:tcBorders>
            <w:shd w:val="clear" w:color="auto" w:fill="auto"/>
            <w:noWrap/>
            <w:vAlign w:val="bottom"/>
            <w:hideMark/>
          </w:tcPr>
          <w:p w14:paraId="22CDBC6F"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13.2%</w:t>
            </w:r>
          </w:p>
        </w:tc>
        <w:tc>
          <w:tcPr>
            <w:tcW w:w="855" w:type="dxa"/>
            <w:tcBorders>
              <w:top w:val="nil"/>
              <w:left w:val="nil"/>
              <w:bottom w:val="nil"/>
              <w:right w:val="nil"/>
            </w:tcBorders>
            <w:shd w:val="clear" w:color="auto" w:fill="auto"/>
            <w:noWrap/>
            <w:vAlign w:val="bottom"/>
            <w:hideMark/>
          </w:tcPr>
          <w:p w14:paraId="49C2B894"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151</w:t>
            </w:r>
          </w:p>
        </w:tc>
        <w:tc>
          <w:tcPr>
            <w:tcW w:w="856" w:type="dxa"/>
            <w:tcBorders>
              <w:top w:val="nil"/>
              <w:left w:val="nil"/>
              <w:bottom w:val="nil"/>
              <w:right w:val="single" w:sz="12" w:space="0" w:color="auto"/>
            </w:tcBorders>
            <w:shd w:val="clear" w:color="auto" w:fill="auto"/>
            <w:noWrap/>
            <w:vAlign w:val="bottom"/>
            <w:hideMark/>
          </w:tcPr>
          <w:p w14:paraId="4E2FDFD4"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86.8%</w:t>
            </w:r>
          </w:p>
        </w:tc>
      </w:tr>
      <w:tr w:rsidR="00821EF5" w14:paraId="0B8D60E5" w14:textId="77777777" w:rsidTr="008328AA">
        <w:trPr>
          <w:trHeight w:val="315"/>
        </w:trPr>
        <w:tc>
          <w:tcPr>
            <w:tcW w:w="4101" w:type="dxa"/>
            <w:tcBorders>
              <w:top w:val="nil"/>
              <w:left w:val="single" w:sz="12" w:space="0" w:color="auto"/>
              <w:bottom w:val="nil"/>
              <w:right w:val="nil"/>
            </w:tcBorders>
            <w:shd w:val="clear" w:color="auto" w:fill="auto"/>
            <w:noWrap/>
            <w:vAlign w:val="bottom"/>
            <w:hideMark/>
          </w:tcPr>
          <w:p w14:paraId="37F8CA3F" w14:textId="77777777" w:rsidR="00821EF5" w:rsidRDefault="00821EF5">
            <w:pPr>
              <w:rPr>
                <w:rFonts w:ascii="Calibri" w:hAnsi="Calibri" w:cs="Calibri"/>
                <w:color w:val="000000"/>
                <w:sz w:val="22"/>
                <w:szCs w:val="22"/>
              </w:rPr>
            </w:pPr>
            <w:r>
              <w:rPr>
                <w:rFonts w:ascii="Calibri" w:hAnsi="Calibri" w:cs="Calibri"/>
                <w:color w:val="000000"/>
                <w:sz w:val="22"/>
                <w:szCs w:val="22"/>
              </w:rPr>
              <w:t xml:space="preserve">Education - </w:t>
            </w:r>
            <w:proofErr w:type="gramStart"/>
            <w:r>
              <w:rPr>
                <w:rFonts w:ascii="Calibri" w:hAnsi="Calibri" w:cs="Calibri"/>
                <w:color w:val="000000"/>
                <w:sz w:val="22"/>
                <w:szCs w:val="22"/>
              </w:rPr>
              <w:t>non Agenda</w:t>
            </w:r>
            <w:proofErr w:type="gramEnd"/>
            <w:r>
              <w:rPr>
                <w:rFonts w:ascii="Calibri" w:hAnsi="Calibri" w:cs="Calibri"/>
                <w:color w:val="000000"/>
                <w:sz w:val="22"/>
                <w:szCs w:val="22"/>
              </w:rPr>
              <w:t xml:space="preserve"> for Change</w:t>
            </w:r>
          </w:p>
        </w:tc>
        <w:tc>
          <w:tcPr>
            <w:tcW w:w="855" w:type="dxa"/>
            <w:tcBorders>
              <w:top w:val="nil"/>
              <w:left w:val="single" w:sz="4" w:space="0" w:color="auto"/>
              <w:bottom w:val="nil"/>
              <w:right w:val="nil"/>
            </w:tcBorders>
            <w:shd w:val="clear" w:color="auto" w:fill="auto"/>
            <w:noWrap/>
            <w:vAlign w:val="bottom"/>
            <w:hideMark/>
          </w:tcPr>
          <w:p w14:paraId="5E73A23C"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58</w:t>
            </w:r>
          </w:p>
        </w:tc>
        <w:tc>
          <w:tcPr>
            <w:tcW w:w="856" w:type="dxa"/>
            <w:tcBorders>
              <w:top w:val="nil"/>
              <w:left w:val="nil"/>
              <w:bottom w:val="nil"/>
              <w:right w:val="single" w:sz="4" w:space="0" w:color="auto"/>
            </w:tcBorders>
            <w:shd w:val="clear" w:color="auto" w:fill="auto"/>
            <w:noWrap/>
            <w:vAlign w:val="bottom"/>
            <w:hideMark/>
          </w:tcPr>
          <w:p w14:paraId="1523BF5A"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49.2%</w:t>
            </w:r>
          </w:p>
        </w:tc>
        <w:tc>
          <w:tcPr>
            <w:tcW w:w="855" w:type="dxa"/>
            <w:tcBorders>
              <w:top w:val="nil"/>
              <w:left w:val="nil"/>
              <w:bottom w:val="nil"/>
              <w:right w:val="nil"/>
            </w:tcBorders>
            <w:shd w:val="clear" w:color="auto" w:fill="auto"/>
            <w:noWrap/>
            <w:vAlign w:val="bottom"/>
            <w:hideMark/>
          </w:tcPr>
          <w:p w14:paraId="17709439"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60</w:t>
            </w:r>
          </w:p>
        </w:tc>
        <w:tc>
          <w:tcPr>
            <w:tcW w:w="856" w:type="dxa"/>
            <w:tcBorders>
              <w:top w:val="nil"/>
              <w:left w:val="nil"/>
              <w:bottom w:val="nil"/>
              <w:right w:val="single" w:sz="12" w:space="0" w:color="auto"/>
            </w:tcBorders>
            <w:shd w:val="clear" w:color="auto" w:fill="auto"/>
            <w:noWrap/>
            <w:vAlign w:val="bottom"/>
            <w:hideMark/>
          </w:tcPr>
          <w:p w14:paraId="54F30ED8"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50.8%</w:t>
            </w:r>
          </w:p>
        </w:tc>
      </w:tr>
      <w:tr w:rsidR="00821EF5" w14:paraId="7B650443" w14:textId="77777777" w:rsidTr="008328AA">
        <w:trPr>
          <w:trHeight w:val="315"/>
        </w:trPr>
        <w:tc>
          <w:tcPr>
            <w:tcW w:w="4101" w:type="dxa"/>
            <w:tcBorders>
              <w:top w:val="nil"/>
              <w:left w:val="single" w:sz="12" w:space="0" w:color="auto"/>
              <w:bottom w:val="nil"/>
              <w:right w:val="nil"/>
            </w:tcBorders>
            <w:shd w:val="clear" w:color="auto" w:fill="auto"/>
            <w:noWrap/>
            <w:vAlign w:val="bottom"/>
            <w:hideMark/>
          </w:tcPr>
          <w:p w14:paraId="49CADE4C" w14:textId="77777777" w:rsidR="00821EF5" w:rsidRDefault="00821EF5">
            <w:pPr>
              <w:rPr>
                <w:rFonts w:ascii="Calibri" w:hAnsi="Calibri" w:cs="Calibri"/>
                <w:color w:val="000000"/>
                <w:sz w:val="22"/>
                <w:szCs w:val="22"/>
              </w:rPr>
            </w:pPr>
            <w:r>
              <w:rPr>
                <w:rFonts w:ascii="Calibri" w:hAnsi="Calibri" w:cs="Calibri"/>
                <w:color w:val="000000"/>
                <w:sz w:val="22"/>
                <w:szCs w:val="22"/>
              </w:rPr>
              <w:t>Finance</w:t>
            </w:r>
          </w:p>
        </w:tc>
        <w:tc>
          <w:tcPr>
            <w:tcW w:w="855" w:type="dxa"/>
            <w:tcBorders>
              <w:top w:val="nil"/>
              <w:left w:val="single" w:sz="4" w:space="0" w:color="auto"/>
              <w:bottom w:val="nil"/>
              <w:right w:val="nil"/>
            </w:tcBorders>
            <w:shd w:val="clear" w:color="auto" w:fill="auto"/>
            <w:noWrap/>
            <w:vAlign w:val="bottom"/>
            <w:hideMark/>
          </w:tcPr>
          <w:p w14:paraId="06BEF0CA"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12</w:t>
            </w:r>
          </w:p>
        </w:tc>
        <w:tc>
          <w:tcPr>
            <w:tcW w:w="856" w:type="dxa"/>
            <w:tcBorders>
              <w:top w:val="nil"/>
              <w:left w:val="nil"/>
              <w:bottom w:val="nil"/>
              <w:right w:val="single" w:sz="4" w:space="0" w:color="auto"/>
            </w:tcBorders>
            <w:shd w:val="clear" w:color="auto" w:fill="auto"/>
            <w:noWrap/>
            <w:vAlign w:val="bottom"/>
            <w:hideMark/>
          </w:tcPr>
          <w:p w14:paraId="66282D6D"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30.8%</w:t>
            </w:r>
          </w:p>
        </w:tc>
        <w:tc>
          <w:tcPr>
            <w:tcW w:w="855" w:type="dxa"/>
            <w:tcBorders>
              <w:top w:val="nil"/>
              <w:left w:val="nil"/>
              <w:bottom w:val="nil"/>
              <w:right w:val="nil"/>
            </w:tcBorders>
            <w:shd w:val="clear" w:color="auto" w:fill="auto"/>
            <w:noWrap/>
            <w:vAlign w:val="bottom"/>
            <w:hideMark/>
          </w:tcPr>
          <w:p w14:paraId="2E63A9B5"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27</w:t>
            </w:r>
          </w:p>
        </w:tc>
        <w:tc>
          <w:tcPr>
            <w:tcW w:w="856" w:type="dxa"/>
            <w:tcBorders>
              <w:top w:val="nil"/>
              <w:left w:val="nil"/>
              <w:bottom w:val="nil"/>
              <w:right w:val="single" w:sz="12" w:space="0" w:color="auto"/>
            </w:tcBorders>
            <w:shd w:val="clear" w:color="auto" w:fill="auto"/>
            <w:noWrap/>
            <w:vAlign w:val="bottom"/>
            <w:hideMark/>
          </w:tcPr>
          <w:p w14:paraId="407248F0"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69.2%</w:t>
            </w:r>
          </w:p>
        </w:tc>
      </w:tr>
      <w:tr w:rsidR="00821EF5" w14:paraId="591CF14D" w14:textId="77777777" w:rsidTr="008328AA">
        <w:trPr>
          <w:trHeight w:val="315"/>
        </w:trPr>
        <w:tc>
          <w:tcPr>
            <w:tcW w:w="4101" w:type="dxa"/>
            <w:tcBorders>
              <w:top w:val="nil"/>
              <w:left w:val="single" w:sz="12" w:space="0" w:color="auto"/>
              <w:bottom w:val="nil"/>
              <w:right w:val="nil"/>
            </w:tcBorders>
            <w:shd w:val="clear" w:color="auto" w:fill="auto"/>
            <w:noWrap/>
            <w:vAlign w:val="bottom"/>
            <w:hideMark/>
          </w:tcPr>
          <w:p w14:paraId="6D617FD0" w14:textId="77777777" w:rsidR="00821EF5" w:rsidRDefault="00821EF5">
            <w:pPr>
              <w:rPr>
                <w:rFonts w:ascii="Calibri" w:hAnsi="Calibri" w:cs="Calibri"/>
                <w:color w:val="000000"/>
                <w:sz w:val="22"/>
                <w:szCs w:val="22"/>
              </w:rPr>
            </w:pPr>
            <w:r>
              <w:rPr>
                <w:rFonts w:ascii="Calibri" w:hAnsi="Calibri" w:cs="Calibri"/>
                <w:color w:val="000000"/>
                <w:sz w:val="22"/>
                <w:szCs w:val="22"/>
              </w:rPr>
              <w:t>Workforce</w:t>
            </w:r>
          </w:p>
        </w:tc>
        <w:tc>
          <w:tcPr>
            <w:tcW w:w="855" w:type="dxa"/>
            <w:tcBorders>
              <w:top w:val="nil"/>
              <w:left w:val="single" w:sz="4" w:space="0" w:color="auto"/>
              <w:bottom w:val="nil"/>
              <w:right w:val="nil"/>
            </w:tcBorders>
            <w:shd w:val="clear" w:color="auto" w:fill="auto"/>
            <w:noWrap/>
            <w:vAlign w:val="bottom"/>
            <w:hideMark/>
          </w:tcPr>
          <w:p w14:paraId="507149F8"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17</w:t>
            </w:r>
          </w:p>
        </w:tc>
        <w:tc>
          <w:tcPr>
            <w:tcW w:w="856" w:type="dxa"/>
            <w:tcBorders>
              <w:top w:val="nil"/>
              <w:left w:val="nil"/>
              <w:bottom w:val="nil"/>
              <w:right w:val="single" w:sz="4" w:space="0" w:color="auto"/>
            </w:tcBorders>
            <w:shd w:val="clear" w:color="auto" w:fill="auto"/>
            <w:noWrap/>
            <w:vAlign w:val="bottom"/>
            <w:hideMark/>
          </w:tcPr>
          <w:p w14:paraId="252F8F3B"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24.6%</w:t>
            </w:r>
          </w:p>
        </w:tc>
        <w:tc>
          <w:tcPr>
            <w:tcW w:w="855" w:type="dxa"/>
            <w:tcBorders>
              <w:top w:val="nil"/>
              <w:left w:val="nil"/>
              <w:bottom w:val="nil"/>
              <w:right w:val="nil"/>
            </w:tcBorders>
            <w:shd w:val="clear" w:color="auto" w:fill="auto"/>
            <w:noWrap/>
            <w:vAlign w:val="bottom"/>
            <w:hideMark/>
          </w:tcPr>
          <w:p w14:paraId="2C967FA2"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52</w:t>
            </w:r>
          </w:p>
        </w:tc>
        <w:tc>
          <w:tcPr>
            <w:tcW w:w="856" w:type="dxa"/>
            <w:tcBorders>
              <w:top w:val="nil"/>
              <w:left w:val="nil"/>
              <w:bottom w:val="nil"/>
              <w:right w:val="single" w:sz="12" w:space="0" w:color="auto"/>
            </w:tcBorders>
            <w:shd w:val="clear" w:color="auto" w:fill="auto"/>
            <w:noWrap/>
            <w:vAlign w:val="bottom"/>
            <w:hideMark/>
          </w:tcPr>
          <w:p w14:paraId="24AB4258" w14:textId="77777777" w:rsidR="00821EF5" w:rsidRDefault="00821EF5">
            <w:pPr>
              <w:jc w:val="center"/>
              <w:rPr>
                <w:rFonts w:ascii="Calibri" w:hAnsi="Calibri" w:cs="Calibri"/>
                <w:color w:val="000000"/>
                <w:sz w:val="22"/>
                <w:szCs w:val="22"/>
              </w:rPr>
            </w:pPr>
            <w:r>
              <w:rPr>
                <w:rFonts w:ascii="Calibri" w:hAnsi="Calibri" w:cs="Calibri"/>
                <w:color w:val="000000"/>
                <w:sz w:val="22"/>
                <w:szCs w:val="22"/>
              </w:rPr>
              <w:t>75.4%</w:t>
            </w:r>
          </w:p>
        </w:tc>
      </w:tr>
      <w:tr w:rsidR="00821EF5" w14:paraId="20463163" w14:textId="77777777" w:rsidTr="008328AA">
        <w:trPr>
          <w:trHeight w:val="330"/>
        </w:trPr>
        <w:tc>
          <w:tcPr>
            <w:tcW w:w="4101" w:type="dxa"/>
            <w:tcBorders>
              <w:top w:val="single" w:sz="4" w:space="0" w:color="8EA9DB"/>
              <w:left w:val="single" w:sz="12" w:space="0" w:color="auto"/>
              <w:bottom w:val="single" w:sz="12" w:space="0" w:color="auto"/>
              <w:right w:val="nil"/>
            </w:tcBorders>
            <w:shd w:val="clear" w:color="D9E1F2" w:fill="D9E1F2"/>
            <w:noWrap/>
            <w:vAlign w:val="bottom"/>
            <w:hideMark/>
          </w:tcPr>
          <w:p w14:paraId="4661EDD1" w14:textId="77777777" w:rsidR="00821EF5" w:rsidRDefault="00821EF5">
            <w:pPr>
              <w:rPr>
                <w:rFonts w:ascii="Calibri" w:hAnsi="Calibri" w:cs="Calibri"/>
                <w:b/>
                <w:bCs/>
                <w:color w:val="000000"/>
                <w:sz w:val="22"/>
                <w:szCs w:val="22"/>
              </w:rPr>
            </w:pPr>
            <w:r>
              <w:rPr>
                <w:rFonts w:ascii="Calibri" w:hAnsi="Calibri" w:cs="Calibri"/>
                <w:b/>
                <w:bCs/>
                <w:color w:val="000000"/>
                <w:sz w:val="22"/>
                <w:szCs w:val="22"/>
              </w:rPr>
              <w:t>Grand Total</w:t>
            </w:r>
          </w:p>
        </w:tc>
        <w:tc>
          <w:tcPr>
            <w:tcW w:w="855" w:type="dxa"/>
            <w:tcBorders>
              <w:top w:val="single" w:sz="4" w:space="0" w:color="8EA9DB"/>
              <w:left w:val="single" w:sz="4" w:space="0" w:color="auto"/>
              <w:bottom w:val="single" w:sz="12" w:space="0" w:color="auto"/>
              <w:right w:val="nil"/>
            </w:tcBorders>
            <w:shd w:val="clear" w:color="D9E1F2" w:fill="D9E1F2"/>
            <w:noWrap/>
            <w:vAlign w:val="bottom"/>
            <w:hideMark/>
          </w:tcPr>
          <w:p w14:paraId="35ED3269" w14:textId="77777777" w:rsidR="00821EF5" w:rsidRDefault="00821EF5">
            <w:pPr>
              <w:jc w:val="center"/>
              <w:rPr>
                <w:rFonts w:ascii="Calibri" w:hAnsi="Calibri" w:cs="Calibri"/>
                <w:b/>
                <w:bCs/>
                <w:color w:val="000000"/>
                <w:sz w:val="22"/>
                <w:szCs w:val="22"/>
              </w:rPr>
            </w:pPr>
            <w:r>
              <w:rPr>
                <w:rFonts w:ascii="Calibri" w:hAnsi="Calibri" w:cs="Calibri"/>
                <w:b/>
                <w:bCs/>
                <w:color w:val="000000"/>
                <w:sz w:val="22"/>
                <w:szCs w:val="22"/>
              </w:rPr>
              <w:t>823</w:t>
            </w:r>
          </w:p>
        </w:tc>
        <w:tc>
          <w:tcPr>
            <w:tcW w:w="856" w:type="dxa"/>
            <w:tcBorders>
              <w:top w:val="single" w:sz="4" w:space="0" w:color="8EA9DB"/>
              <w:left w:val="nil"/>
              <w:bottom w:val="single" w:sz="12" w:space="0" w:color="auto"/>
              <w:right w:val="single" w:sz="4" w:space="0" w:color="auto"/>
            </w:tcBorders>
            <w:shd w:val="clear" w:color="D9E1F2" w:fill="D9E1F2"/>
            <w:noWrap/>
            <w:vAlign w:val="bottom"/>
            <w:hideMark/>
          </w:tcPr>
          <w:p w14:paraId="67B3A48F" w14:textId="77777777" w:rsidR="00821EF5" w:rsidRDefault="00821EF5">
            <w:pPr>
              <w:jc w:val="center"/>
              <w:rPr>
                <w:rFonts w:ascii="Calibri" w:hAnsi="Calibri" w:cs="Calibri"/>
                <w:b/>
                <w:bCs/>
                <w:color w:val="000000"/>
                <w:sz w:val="22"/>
                <w:szCs w:val="22"/>
              </w:rPr>
            </w:pPr>
            <w:r>
              <w:rPr>
                <w:rFonts w:ascii="Calibri" w:hAnsi="Calibri" w:cs="Calibri"/>
                <w:b/>
                <w:bCs/>
                <w:color w:val="000000"/>
                <w:sz w:val="22"/>
                <w:szCs w:val="22"/>
              </w:rPr>
              <w:t>33.8%</w:t>
            </w:r>
          </w:p>
        </w:tc>
        <w:tc>
          <w:tcPr>
            <w:tcW w:w="855" w:type="dxa"/>
            <w:tcBorders>
              <w:top w:val="single" w:sz="4" w:space="0" w:color="8EA9DB"/>
              <w:left w:val="nil"/>
              <w:bottom w:val="single" w:sz="12" w:space="0" w:color="auto"/>
              <w:right w:val="nil"/>
            </w:tcBorders>
            <w:shd w:val="clear" w:color="D9E1F2" w:fill="D9E1F2"/>
            <w:noWrap/>
            <w:vAlign w:val="bottom"/>
            <w:hideMark/>
          </w:tcPr>
          <w:p w14:paraId="71BCE78D" w14:textId="77777777" w:rsidR="00821EF5" w:rsidRDefault="00821EF5">
            <w:pPr>
              <w:jc w:val="center"/>
              <w:rPr>
                <w:rFonts w:ascii="Calibri" w:hAnsi="Calibri" w:cs="Calibri"/>
                <w:b/>
                <w:bCs/>
                <w:color w:val="000000"/>
                <w:sz w:val="22"/>
                <w:szCs w:val="22"/>
              </w:rPr>
            </w:pPr>
            <w:r>
              <w:rPr>
                <w:rFonts w:ascii="Calibri" w:hAnsi="Calibri" w:cs="Calibri"/>
                <w:b/>
                <w:bCs/>
                <w:color w:val="000000"/>
                <w:sz w:val="22"/>
                <w:szCs w:val="22"/>
              </w:rPr>
              <w:t>1613</w:t>
            </w:r>
          </w:p>
        </w:tc>
        <w:tc>
          <w:tcPr>
            <w:tcW w:w="856" w:type="dxa"/>
            <w:tcBorders>
              <w:top w:val="single" w:sz="4" w:space="0" w:color="8EA9DB"/>
              <w:left w:val="nil"/>
              <w:bottom w:val="single" w:sz="12" w:space="0" w:color="auto"/>
              <w:right w:val="single" w:sz="12" w:space="0" w:color="auto"/>
            </w:tcBorders>
            <w:shd w:val="clear" w:color="D9E1F2" w:fill="D9E1F2"/>
            <w:noWrap/>
            <w:vAlign w:val="bottom"/>
            <w:hideMark/>
          </w:tcPr>
          <w:p w14:paraId="770BF1BF" w14:textId="77777777" w:rsidR="00821EF5" w:rsidRDefault="00821EF5">
            <w:pPr>
              <w:jc w:val="center"/>
              <w:rPr>
                <w:rFonts w:ascii="Calibri" w:hAnsi="Calibri" w:cs="Calibri"/>
                <w:b/>
                <w:bCs/>
                <w:color w:val="000000"/>
                <w:sz w:val="22"/>
                <w:szCs w:val="22"/>
              </w:rPr>
            </w:pPr>
            <w:r>
              <w:rPr>
                <w:rFonts w:ascii="Calibri" w:hAnsi="Calibri" w:cs="Calibri"/>
                <w:b/>
                <w:bCs/>
                <w:color w:val="000000"/>
                <w:sz w:val="22"/>
                <w:szCs w:val="22"/>
              </w:rPr>
              <w:t>66.2%</w:t>
            </w:r>
          </w:p>
        </w:tc>
      </w:tr>
    </w:tbl>
    <w:p w14:paraId="42623C98" w14:textId="3AC92721" w:rsidR="008F064F" w:rsidRDefault="008F064F" w:rsidP="008F064F">
      <w:pPr>
        <w:autoSpaceDE w:val="0"/>
        <w:autoSpaceDN w:val="0"/>
        <w:adjustRightInd w:val="0"/>
        <w:spacing w:line="360" w:lineRule="auto"/>
        <w:rPr>
          <w:rFonts w:ascii="Arial" w:eastAsia="Arial" w:hAnsi="Arial" w:cs="Arial"/>
          <w:i/>
          <w:iCs/>
          <w:color w:val="000000" w:themeColor="text1"/>
          <w:sz w:val="20"/>
          <w:szCs w:val="20"/>
        </w:rPr>
      </w:pPr>
      <w:r>
        <w:rPr>
          <w:rFonts w:ascii="Arial" w:eastAsia="Arial" w:hAnsi="Arial" w:cs="Arial"/>
          <w:i/>
          <w:iCs/>
          <w:color w:val="000000" w:themeColor="text1"/>
          <w:sz w:val="20"/>
          <w:szCs w:val="20"/>
        </w:rPr>
        <w:t xml:space="preserve">If the statistical value is less than 5, the number is </w:t>
      </w:r>
      <w:r w:rsidRPr="005A1824">
        <w:rPr>
          <w:rFonts w:ascii="Arial" w:eastAsia="Arial" w:hAnsi="Arial" w:cs="Arial"/>
          <w:i/>
          <w:iCs/>
          <w:color w:val="000000" w:themeColor="text1"/>
          <w:sz w:val="20"/>
          <w:szCs w:val="20"/>
        </w:rPr>
        <w:t>suppressed</w:t>
      </w:r>
      <w:r>
        <w:rPr>
          <w:rFonts w:ascii="Arial" w:eastAsia="Arial" w:hAnsi="Arial" w:cs="Arial"/>
          <w:i/>
          <w:iCs/>
          <w:color w:val="000000" w:themeColor="text1"/>
          <w:sz w:val="20"/>
          <w:szCs w:val="20"/>
        </w:rPr>
        <w:t xml:space="preserve"> and denoted by a * to </w:t>
      </w:r>
      <w:r w:rsidRPr="005A1824">
        <w:rPr>
          <w:rFonts w:ascii="Arial" w:eastAsia="Arial" w:hAnsi="Arial" w:cs="Arial"/>
          <w:i/>
          <w:iCs/>
          <w:color w:val="000000" w:themeColor="text1"/>
          <w:sz w:val="20"/>
          <w:szCs w:val="20"/>
        </w:rPr>
        <w:t>eliminate the risk of identifying individual</w:t>
      </w:r>
      <w:r>
        <w:rPr>
          <w:rFonts w:ascii="Arial" w:eastAsia="Arial" w:hAnsi="Arial" w:cs="Arial"/>
          <w:i/>
          <w:iCs/>
          <w:color w:val="000000" w:themeColor="text1"/>
          <w:sz w:val="20"/>
          <w:szCs w:val="20"/>
        </w:rPr>
        <w:t>s.</w:t>
      </w:r>
    </w:p>
    <w:p w14:paraId="51EEF27B" w14:textId="77777777" w:rsidR="00622523" w:rsidRPr="005A1824" w:rsidRDefault="00622523" w:rsidP="008F064F">
      <w:pPr>
        <w:autoSpaceDE w:val="0"/>
        <w:autoSpaceDN w:val="0"/>
        <w:adjustRightInd w:val="0"/>
        <w:spacing w:line="360" w:lineRule="auto"/>
        <w:rPr>
          <w:rFonts w:ascii="Arial" w:eastAsia="Arial" w:hAnsi="Arial" w:cs="Arial"/>
          <w:i/>
          <w:iCs/>
          <w:color w:val="000000" w:themeColor="text1"/>
          <w:sz w:val="20"/>
          <w:szCs w:val="20"/>
        </w:rPr>
      </w:pPr>
    </w:p>
    <w:p w14:paraId="378C8CFB" w14:textId="677C54D6" w:rsidR="006214D0" w:rsidRDefault="006214D0" w:rsidP="006214D0">
      <w:pPr>
        <w:autoSpaceDE w:val="0"/>
        <w:autoSpaceDN w:val="0"/>
        <w:adjustRightInd w:val="0"/>
        <w:spacing w:line="360" w:lineRule="auto"/>
        <w:rPr>
          <w:rFonts w:ascii="Arial" w:eastAsia="Arial" w:hAnsi="Arial" w:cs="Arial"/>
          <w:color w:val="000000"/>
        </w:rPr>
      </w:pPr>
      <w:r>
        <w:rPr>
          <w:rFonts w:ascii="Arial" w:eastAsia="Arial" w:hAnsi="Arial" w:cs="Arial"/>
          <w:color w:val="000000"/>
        </w:rPr>
        <w:t xml:space="preserve">Table 5b: </w:t>
      </w:r>
      <w:r w:rsidR="00147B16" w:rsidRPr="00147B16">
        <w:rPr>
          <w:rFonts w:ascii="Arial" w:eastAsia="Arial" w:hAnsi="Arial" w:cs="Arial"/>
          <w:color w:val="000000"/>
        </w:rPr>
        <w:t>Working pattern by gender</w:t>
      </w:r>
      <w:r w:rsidR="00147B16">
        <w:rPr>
          <w:rFonts w:ascii="Arial" w:eastAsia="Arial" w:hAnsi="Arial" w:cs="Arial"/>
          <w:color w:val="000000"/>
        </w:rPr>
        <w:t xml:space="preserve"> (ex</w:t>
      </w:r>
      <w:r w:rsidR="00B00C90">
        <w:rPr>
          <w:rFonts w:ascii="Arial" w:eastAsia="Arial" w:hAnsi="Arial" w:cs="Arial"/>
          <w:color w:val="000000"/>
        </w:rPr>
        <w:t>c</w:t>
      </w:r>
      <w:r w:rsidR="00147B16">
        <w:rPr>
          <w:rFonts w:ascii="Arial" w:eastAsia="Arial" w:hAnsi="Arial" w:cs="Arial"/>
          <w:color w:val="000000"/>
        </w:rPr>
        <w:t xml:space="preserve">luding </w:t>
      </w:r>
      <w:r w:rsidR="00147B16" w:rsidRPr="00147B16">
        <w:rPr>
          <w:rFonts w:ascii="Arial" w:eastAsia="Arial" w:hAnsi="Arial" w:cs="Arial"/>
          <w:color w:val="000000"/>
        </w:rPr>
        <w:t>Doctors in Training</w:t>
      </w:r>
      <w:r w:rsidR="00147B16">
        <w:rPr>
          <w:rFonts w:ascii="Arial" w:eastAsia="Arial" w:hAnsi="Arial" w:cs="Arial"/>
          <w:color w:val="000000"/>
        </w:rPr>
        <w:t>)</w:t>
      </w:r>
    </w:p>
    <w:tbl>
      <w:tblPr>
        <w:tblW w:w="6364" w:type="dxa"/>
        <w:tblLook w:val="04A0" w:firstRow="1" w:lastRow="0" w:firstColumn="1" w:lastColumn="0" w:noHBand="0" w:noVBand="1"/>
      </w:tblPr>
      <w:tblGrid>
        <w:gridCol w:w="2127"/>
        <w:gridCol w:w="1060"/>
        <w:gridCol w:w="1060"/>
        <w:gridCol w:w="1060"/>
        <w:gridCol w:w="1057"/>
      </w:tblGrid>
      <w:tr w:rsidR="00A1107C" w:rsidRPr="00246F01" w14:paraId="40D483F2" w14:textId="77777777" w:rsidTr="00B3119D">
        <w:trPr>
          <w:trHeight w:val="300"/>
        </w:trPr>
        <w:tc>
          <w:tcPr>
            <w:tcW w:w="2127" w:type="dxa"/>
            <w:vMerge w:val="restart"/>
            <w:tcBorders>
              <w:top w:val="single" w:sz="12" w:space="0" w:color="auto"/>
              <w:left w:val="single" w:sz="12" w:space="0" w:color="auto"/>
              <w:right w:val="nil"/>
            </w:tcBorders>
            <w:shd w:val="clear" w:color="D9E1F2" w:fill="D9E1F2"/>
            <w:noWrap/>
            <w:vAlign w:val="center"/>
            <w:hideMark/>
          </w:tcPr>
          <w:p w14:paraId="066F9256" w14:textId="64684DD4" w:rsidR="00A1107C" w:rsidRPr="00246F01" w:rsidRDefault="00A1107C" w:rsidP="00B3119D"/>
        </w:tc>
        <w:tc>
          <w:tcPr>
            <w:tcW w:w="2120" w:type="dxa"/>
            <w:gridSpan w:val="2"/>
            <w:tcBorders>
              <w:top w:val="single" w:sz="12" w:space="0" w:color="auto"/>
              <w:left w:val="nil"/>
              <w:bottom w:val="nil"/>
              <w:right w:val="nil"/>
            </w:tcBorders>
            <w:shd w:val="clear" w:color="D9E1F2" w:fill="D9E1F2"/>
            <w:noWrap/>
            <w:vAlign w:val="bottom"/>
            <w:hideMark/>
          </w:tcPr>
          <w:p w14:paraId="014D8FDD" w14:textId="19EF4F8E" w:rsidR="00A1107C" w:rsidRPr="00246F01" w:rsidRDefault="00F32671" w:rsidP="00B3119D">
            <w:pPr>
              <w:jc w:val="center"/>
              <w:rPr>
                <w:rFonts w:ascii="Calibri" w:hAnsi="Calibri" w:cs="Calibri"/>
                <w:b/>
                <w:bCs/>
                <w:color w:val="000000"/>
              </w:rPr>
            </w:pPr>
            <w:r>
              <w:rPr>
                <w:rFonts w:ascii="Calibri" w:hAnsi="Calibri" w:cs="Calibri"/>
                <w:b/>
                <w:bCs/>
                <w:color w:val="000000"/>
              </w:rPr>
              <w:t>Full</w:t>
            </w:r>
            <w:r w:rsidR="004446FF">
              <w:rPr>
                <w:rFonts w:ascii="Calibri" w:hAnsi="Calibri" w:cs="Calibri"/>
                <w:b/>
                <w:bCs/>
                <w:color w:val="000000"/>
              </w:rPr>
              <w:t>time</w:t>
            </w:r>
          </w:p>
        </w:tc>
        <w:tc>
          <w:tcPr>
            <w:tcW w:w="2117" w:type="dxa"/>
            <w:gridSpan w:val="2"/>
            <w:tcBorders>
              <w:top w:val="single" w:sz="12" w:space="0" w:color="auto"/>
              <w:left w:val="nil"/>
              <w:bottom w:val="nil"/>
              <w:right w:val="single" w:sz="12" w:space="0" w:color="auto"/>
            </w:tcBorders>
            <w:shd w:val="clear" w:color="D9E1F2" w:fill="D9E1F2"/>
            <w:noWrap/>
            <w:vAlign w:val="bottom"/>
            <w:hideMark/>
          </w:tcPr>
          <w:p w14:paraId="1794C19E" w14:textId="10F80ADC" w:rsidR="00A1107C" w:rsidRPr="00246F01" w:rsidRDefault="004446FF" w:rsidP="00B3119D">
            <w:pPr>
              <w:jc w:val="center"/>
              <w:rPr>
                <w:rFonts w:ascii="Calibri" w:hAnsi="Calibri" w:cs="Calibri"/>
                <w:b/>
                <w:bCs/>
                <w:color w:val="000000"/>
              </w:rPr>
            </w:pPr>
            <w:proofErr w:type="spellStart"/>
            <w:r>
              <w:rPr>
                <w:rFonts w:ascii="Calibri" w:hAnsi="Calibri" w:cs="Calibri"/>
                <w:b/>
                <w:bCs/>
                <w:color w:val="000000"/>
              </w:rPr>
              <w:t>Partime</w:t>
            </w:r>
            <w:proofErr w:type="spellEnd"/>
          </w:p>
        </w:tc>
      </w:tr>
      <w:tr w:rsidR="00A1107C" w:rsidRPr="00246F01" w14:paraId="6A6BA974" w14:textId="77777777" w:rsidTr="00B3119D">
        <w:trPr>
          <w:trHeight w:val="300"/>
        </w:trPr>
        <w:tc>
          <w:tcPr>
            <w:tcW w:w="2127" w:type="dxa"/>
            <w:vMerge/>
            <w:tcBorders>
              <w:left w:val="single" w:sz="12" w:space="0" w:color="auto"/>
              <w:bottom w:val="single" w:sz="4" w:space="0" w:color="8EA9DB"/>
              <w:right w:val="nil"/>
            </w:tcBorders>
            <w:shd w:val="clear" w:color="D9E1F2" w:fill="D9E1F2"/>
            <w:noWrap/>
            <w:vAlign w:val="bottom"/>
            <w:hideMark/>
          </w:tcPr>
          <w:p w14:paraId="33D6AD13" w14:textId="77777777" w:rsidR="00A1107C" w:rsidRPr="00246F01" w:rsidRDefault="00A1107C" w:rsidP="00B3119D">
            <w:pPr>
              <w:rPr>
                <w:rFonts w:ascii="Calibri" w:hAnsi="Calibri" w:cs="Calibri"/>
                <w:b/>
                <w:bCs/>
                <w:color w:val="000000"/>
              </w:rPr>
            </w:pPr>
          </w:p>
        </w:tc>
        <w:tc>
          <w:tcPr>
            <w:tcW w:w="1060" w:type="dxa"/>
            <w:tcBorders>
              <w:top w:val="nil"/>
              <w:left w:val="nil"/>
              <w:bottom w:val="single" w:sz="4" w:space="0" w:color="8EA9DB"/>
              <w:right w:val="nil"/>
            </w:tcBorders>
            <w:shd w:val="clear" w:color="D9E1F2" w:fill="D9E1F2"/>
            <w:noWrap/>
            <w:vAlign w:val="bottom"/>
            <w:hideMark/>
          </w:tcPr>
          <w:p w14:paraId="4DBA7F14" w14:textId="77777777" w:rsidR="00A1107C" w:rsidRPr="00246F01" w:rsidRDefault="00A1107C" w:rsidP="00B3119D">
            <w:pPr>
              <w:jc w:val="center"/>
              <w:rPr>
                <w:rFonts w:ascii="Calibri" w:hAnsi="Calibri" w:cs="Calibri"/>
                <w:b/>
                <w:bCs/>
                <w:color w:val="000000"/>
              </w:rPr>
            </w:pPr>
            <w:r w:rsidRPr="00246F01">
              <w:rPr>
                <w:rFonts w:ascii="Calibri" w:hAnsi="Calibri" w:cs="Calibri"/>
                <w:b/>
                <w:bCs/>
                <w:color w:val="000000"/>
              </w:rPr>
              <w:t>N</w:t>
            </w:r>
          </w:p>
        </w:tc>
        <w:tc>
          <w:tcPr>
            <w:tcW w:w="1060" w:type="dxa"/>
            <w:tcBorders>
              <w:top w:val="nil"/>
              <w:left w:val="nil"/>
              <w:bottom w:val="single" w:sz="4" w:space="0" w:color="8EA9DB"/>
              <w:right w:val="nil"/>
            </w:tcBorders>
            <w:shd w:val="clear" w:color="D9E1F2" w:fill="D9E1F2"/>
            <w:noWrap/>
            <w:vAlign w:val="bottom"/>
            <w:hideMark/>
          </w:tcPr>
          <w:p w14:paraId="06A9FF8E" w14:textId="77777777" w:rsidR="00A1107C" w:rsidRPr="00246F01" w:rsidRDefault="00A1107C" w:rsidP="00B3119D">
            <w:pPr>
              <w:jc w:val="center"/>
              <w:rPr>
                <w:rFonts w:ascii="Calibri" w:hAnsi="Calibri" w:cs="Calibri"/>
                <w:b/>
                <w:bCs/>
                <w:color w:val="000000"/>
              </w:rPr>
            </w:pPr>
            <w:r w:rsidRPr="00246F01">
              <w:rPr>
                <w:rFonts w:ascii="Calibri" w:hAnsi="Calibri" w:cs="Calibri"/>
                <w:b/>
                <w:bCs/>
                <w:color w:val="000000"/>
              </w:rPr>
              <w:t>%</w:t>
            </w:r>
          </w:p>
        </w:tc>
        <w:tc>
          <w:tcPr>
            <w:tcW w:w="1060" w:type="dxa"/>
            <w:tcBorders>
              <w:top w:val="nil"/>
              <w:left w:val="nil"/>
              <w:bottom w:val="single" w:sz="4" w:space="0" w:color="8EA9DB"/>
              <w:right w:val="nil"/>
            </w:tcBorders>
            <w:shd w:val="clear" w:color="D9E1F2" w:fill="D9E1F2"/>
            <w:noWrap/>
            <w:vAlign w:val="bottom"/>
            <w:hideMark/>
          </w:tcPr>
          <w:p w14:paraId="42BDA388" w14:textId="77777777" w:rsidR="00A1107C" w:rsidRPr="00246F01" w:rsidRDefault="00A1107C" w:rsidP="00B3119D">
            <w:pPr>
              <w:jc w:val="center"/>
              <w:rPr>
                <w:rFonts w:ascii="Calibri" w:hAnsi="Calibri" w:cs="Calibri"/>
                <w:b/>
                <w:bCs/>
                <w:color w:val="000000"/>
              </w:rPr>
            </w:pPr>
            <w:r w:rsidRPr="00246F01">
              <w:rPr>
                <w:rFonts w:ascii="Calibri" w:hAnsi="Calibri" w:cs="Calibri"/>
                <w:b/>
                <w:bCs/>
                <w:color w:val="000000"/>
              </w:rPr>
              <w:t>N</w:t>
            </w:r>
          </w:p>
        </w:tc>
        <w:tc>
          <w:tcPr>
            <w:tcW w:w="1057" w:type="dxa"/>
            <w:tcBorders>
              <w:top w:val="nil"/>
              <w:left w:val="nil"/>
              <w:bottom w:val="single" w:sz="4" w:space="0" w:color="8EA9DB"/>
              <w:right w:val="single" w:sz="12" w:space="0" w:color="auto"/>
            </w:tcBorders>
            <w:shd w:val="clear" w:color="D9E1F2" w:fill="D9E1F2"/>
            <w:noWrap/>
            <w:vAlign w:val="bottom"/>
            <w:hideMark/>
          </w:tcPr>
          <w:p w14:paraId="0037740C" w14:textId="77777777" w:rsidR="00A1107C" w:rsidRPr="00246F01" w:rsidRDefault="00A1107C" w:rsidP="00B3119D">
            <w:pPr>
              <w:jc w:val="center"/>
              <w:rPr>
                <w:rFonts w:ascii="Calibri" w:hAnsi="Calibri" w:cs="Calibri"/>
                <w:b/>
                <w:bCs/>
                <w:color w:val="000000"/>
              </w:rPr>
            </w:pPr>
            <w:r w:rsidRPr="00246F01">
              <w:rPr>
                <w:rFonts w:ascii="Calibri" w:hAnsi="Calibri" w:cs="Calibri"/>
                <w:b/>
                <w:bCs/>
                <w:color w:val="000000"/>
              </w:rPr>
              <w:t>%</w:t>
            </w:r>
          </w:p>
        </w:tc>
      </w:tr>
      <w:tr w:rsidR="000D5740" w:rsidRPr="00246F01" w14:paraId="3357BAA7" w14:textId="77777777" w:rsidTr="000D5740">
        <w:trPr>
          <w:trHeight w:val="300"/>
        </w:trPr>
        <w:tc>
          <w:tcPr>
            <w:tcW w:w="2127" w:type="dxa"/>
            <w:tcBorders>
              <w:top w:val="nil"/>
              <w:left w:val="single" w:sz="12" w:space="0" w:color="auto"/>
              <w:bottom w:val="nil"/>
              <w:right w:val="nil"/>
            </w:tcBorders>
            <w:shd w:val="clear" w:color="auto" w:fill="auto"/>
            <w:noWrap/>
            <w:vAlign w:val="bottom"/>
            <w:hideMark/>
          </w:tcPr>
          <w:p w14:paraId="3F50B0B7" w14:textId="7E7BF411" w:rsidR="000D5740" w:rsidRPr="00246F01" w:rsidRDefault="000D5740" w:rsidP="000D5740">
            <w:pPr>
              <w:rPr>
                <w:rFonts w:ascii="Calibri" w:hAnsi="Calibri" w:cs="Calibri"/>
                <w:color w:val="000000"/>
              </w:rPr>
            </w:pPr>
            <w:r>
              <w:rPr>
                <w:rFonts w:ascii="Calibri" w:hAnsi="Calibri" w:cs="Calibri"/>
                <w:b/>
                <w:bCs/>
                <w:color w:val="000000"/>
              </w:rPr>
              <w:t>Male</w:t>
            </w:r>
          </w:p>
        </w:tc>
        <w:tc>
          <w:tcPr>
            <w:tcW w:w="1060" w:type="dxa"/>
            <w:tcBorders>
              <w:top w:val="nil"/>
              <w:left w:val="nil"/>
              <w:bottom w:val="nil"/>
              <w:right w:val="nil"/>
            </w:tcBorders>
            <w:shd w:val="clear" w:color="auto" w:fill="auto"/>
            <w:noWrap/>
            <w:vAlign w:val="bottom"/>
            <w:hideMark/>
          </w:tcPr>
          <w:p w14:paraId="15984216" w14:textId="26C64A74" w:rsidR="000D5740" w:rsidRPr="000D5740" w:rsidRDefault="000D5740" w:rsidP="000D5740">
            <w:pPr>
              <w:jc w:val="center"/>
              <w:rPr>
                <w:rFonts w:asciiTheme="minorHAnsi" w:hAnsiTheme="minorHAnsi" w:cstheme="minorHAnsi"/>
                <w:color w:val="000000"/>
              </w:rPr>
            </w:pPr>
            <w:r w:rsidRPr="000D5740">
              <w:rPr>
                <w:rFonts w:asciiTheme="minorHAnsi" w:hAnsiTheme="minorHAnsi" w:cstheme="minorHAnsi"/>
              </w:rPr>
              <w:t>166</w:t>
            </w:r>
          </w:p>
        </w:tc>
        <w:tc>
          <w:tcPr>
            <w:tcW w:w="1060" w:type="dxa"/>
            <w:tcBorders>
              <w:top w:val="nil"/>
              <w:left w:val="nil"/>
              <w:bottom w:val="nil"/>
              <w:right w:val="nil"/>
            </w:tcBorders>
            <w:shd w:val="clear" w:color="auto" w:fill="auto"/>
            <w:noWrap/>
            <w:vAlign w:val="bottom"/>
            <w:hideMark/>
          </w:tcPr>
          <w:p w14:paraId="0D2C0529" w14:textId="7A28C70E" w:rsidR="000D5740" w:rsidRPr="000D5740" w:rsidRDefault="000D5740" w:rsidP="000D5740">
            <w:pPr>
              <w:jc w:val="center"/>
              <w:rPr>
                <w:rFonts w:asciiTheme="minorHAnsi" w:hAnsiTheme="minorHAnsi" w:cstheme="minorHAnsi"/>
                <w:color w:val="000000"/>
              </w:rPr>
            </w:pPr>
            <w:r w:rsidRPr="000D5740">
              <w:rPr>
                <w:rFonts w:asciiTheme="minorHAnsi" w:hAnsiTheme="minorHAnsi" w:cstheme="minorHAnsi"/>
              </w:rPr>
              <w:t>71.6%</w:t>
            </w:r>
          </w:p>
        </w:tc>
        <w:tc>
          <w:tcPr>
            <w:tcW w:w="1060" w:type="dxa"/>
            <w:tcBorders>
              <w:top w:val="nil"/>
              <w:left w:val="nil"/>
              <w:bottom w:val="nil"/>
              <w:right w:val="nil"/>
            </w:tcBorders>
            <w:shd w:val="clear" w:color="auto" w:fill="auto"/>
            <w:noWrap/>
            <w:vAlign w:val="bottom"/>
            <w:hideMark/>
          </w:tcPr>
          <w:p w14:paraId="6CCEAE17" w14:textId="2C5B8F7F" w:rsidR="000D5740" w:rsidRPr="000D5740" w:rsidRDefault="000D5740" w:rsidP="000D5740">
            <w:pPr>
              <w:jc w:val="center"/>
              <w:rPr>
                <w:rFonts w:asciiTheme="minorHAnsi" w:hAnsiTheme="minorHAnsi" w:cstheme="minorHAnsi"/>
                <w:color w:val="000000"/>
              </w:rPr>
            </w:pPr>
            <w:r w:rsidRPr="000D5740">
              <w:rPr>
                <w:rFonts w:asciiTheme="minorHAnsi" w:hAnsiTheme="minorHAnsi" w:cstheme="minorHAnsi"/>
              </w:rPr>
              <w:t>66</w:t>
            </w:r>
          </w:p>
        </w:tc>
        <w:tc>
          <w:tcPr>
            <w:tcW w:w="1057" w:type="dxa"/>
            <w:tcBorders>
              <w:top w:val="nil"/>
              <w:left w:val="nil"/>
              <w:bottom w:val="nil"/>
              <w:right w:val="single" w:sz="12" w:space="0" w:color="auto"/>
            </w:tcBorders>
            <w:shd w:val="clear" w:color="auto" w:fill="auto"/>
            <w:noWrap/>
            <w:vAlign w:val="bottom"/>
          </w:tcPr>
          <w:p w14:paraId="4FF98B09" w14:textId="49AFA586" w:rsidR="000D5740" w:rsidRPr="000D5740" w:rsidRDefault="000D5740" w:rsidP="000D5740">
            <w:pPr>
              <w:jc w:val="center"/>
              <w:rPr>
                <w:rFonts w:asciiTheme="minorHAnsi" w:hAnsiTheme="minorHAnsi" w:cstheme="minorHAnsi"/>
                <w:color w:val="000000"/>
              </w:rPr>
            </w:pPr>
            <w:r w:rsidRPr="000D5740">
              <w:rPr>
                <w:rFonts w:asciiTheme="minorHAnsi" w:hAnsiTheme="minorHAnsi" w:cstheme="minorHAnsi"/>
              </w:rPr>
              <w:t>28.4%</w:t>
            </w:r>
          </w:p>
        </w:tc>
      </w:tr>
      <w:tr w:rsidR="000D5740" w:rsidRPr="00246F01" w14:paraId="7473723D" w14:textId="77777777" w:rsidTr="000D5740">
        <w:trPr>
          <w:trHeight w:val="300"/>
        </w:trPr>
        <w:tc>
          <w:tcPr>
            <w:tcW w:w="2127" w:type="dxa"/>
            <w:tcBorders>
              <w:top w:val="nil"/>
              <w:left w:val="single" w:sz="12" w:space="0" w:color="auto"/>
              <w:bottom w:val="nil"/>
              <w:right w:val="nil"/>
            </w:tcBorders>
            <w:shd w:val="clear" w:color="auto" w:fill="auto"/>
            <w:noWrap/>
            <w:vAlign w:val="bottom"/>
            <w:hideMark/>
          </w:tcPr>
          <w:p w14:paraId="47A05F1A" w14:textId="1220A042" w:rsidR="000D5740" w:rsidRPr="00246F01" w:rsidRDefault="000D5740" w:rsidP="000D5740">
            <w:pPr>
              <w:rPr>
                <w:rFonts w:ascii="Calibri" w:hAnsi="Calibri" w:cs="Calibri"/>
                <w:color w:val="000000"/>
              </w:rPr>
            </w:pPr>
            <w:r>
              <w:rPr>
                <w:rFonts w:ascii="Calibri" w:hAnsi="Calibri" w:cs="Calibri"/>
                <w:b/>
                <w:bCs/>
                <w:color w:val="000000"/>
              </w:rPr>
              <w:t>Female</w:t>
            </w:r>
          </w:p>
        </w:tc>
        <w:tc>
          <w:tcPr>
            <w:tcW w:w="1060" w:type="dxa"/>
            <w:tcBorders>
              <w:top w:val="nil"/>
              <w:left w:val="nil"/>
              <w:bottom w:val="nil"/>
              <w:right w:val="nil"/>
            </w:tcBorders>
            <w:shd w:val="clear" w:color="auto" w:fill="auto"/>
            <w:noWrap/>
            <w:vAlign w:val="bottom"/>
            <w:hideMark/>
          </w:tcPr>
          <w:p w14:paraId="6E6D3864" w14:textId="7E388B0F" w:rsidR="000D5740" w:rsidRPr="000D5740" w:rsidRDefault="000D5740" w:rsidP="000D5740">
            <w:pPr>
              <w:jc w:val="center"/>
              <w:rPr>
                <w:rFonts w:asciiTheme="minorHAnsi" w:hAnsiTheme="minorHAnsi" w:cstheme="minorHAnsi"/>
                <w:color w:val="000000"/>
              </w:rPr>
            </w:pPr>
            <w:r w:rsidRPr="000D5740">
              <w:rPr>
                <w:rFonts w:asciiTheme="minorHAnsi" w:hAnsiTheme="minorHAnsi" w:cstheme="minorHAnsi"/>
              </w:rPr>
              <w:t>341</w:t>
            </w:r>
          </w:p>
        </w:tc>
        <w:tc>
          <w:tcPr>
            <w:tcW w:w="1060" w:type="dxa"/>
            <w:tcBorders>
              <w:top w:val="nil"/>
              <w:left w:val="nil"/>
              <w:bottom w:val="nil"/>
              <w:right w:val="nil"/>
            </w:tcBorders>
            <w:shd w:val="clear" w:color="auto" w:fill="auto"/>
            <w:noWrap/>
            <w:vAlign w:val="bottom"/>
            <w:hideMark/>
          </w:tcPr>
          <w:p w14:paraId="6F194D43" w14:textId="41BA56A8" w:rsidR="000D5740" w:rsidRPr="000D5740" w:rsidRDefault="000D5740" w:rsidP="000D5740">
            <w:pPr>
              <w:jc w:val="center"/>
              <w:rPr>
                <w:rFonts w:asciiTheme="minorHAnsi" w:hAnsiTheme="minorHAnsi" w:cstheme="minorHAnsi"/>
                <w:color w:val="000000"/>
              </w:rPr>
            </w:pPr>
            <w:r w:rsidRPr="000D5740">
              <w:rPr>
                <w:rFonts w:asciiTheme="minorHAnsi" w:hAnsiTheme="minorHAnsi" w:cstheme="minorHAnsi"/>
              </w:rPr>
              <w:t>58.7%</w:t>
            </w:r>
          </w:p>
        </w:tc>
        <w:tc>
          <w:tcPr>
            <w:tcW w:w="1060" w:type="dxa"/>
            <w:tcBorders>
              <w:top w:val="nil"/>
              <w:left w:val="nil"/>
              <w:bottom w:val="nil"/>
              <w:right w:val="nil"/>
            </w:tcBorders>
            <w:shd w:val="clear" w:color="auto" w:fill="auto"/>
            <w:noWrap/>
            <w:vAlign w:val="bottom"/>
            <w:hideMark/>
          </w:tcPr>
          <w:p w14:paraId="38B5E3C6" w14:textId="7218A2EA" w:rsidR="000D5740" w:rsidRPr="000D5740" w:rsidRDefault="000D5740" w:rsidP="000D5740">
            <w:pPr>
              <w:jc w:val="center"/>
              <w:rPr>
                <w:rFonts w:asciiTheme="minorHAnsi" w:hAnsiTheme="minorHAnsi" w:cstheme="minorHAnsi"/>
                <w:color w:val="000000"/>
              </w:rPr>
            </w:pPr>
            <w:r w:rsidRPr="000D5740">
              <w:rPr>
                <w:rFonts w:asciiTheme="minorHAnsi" w:hAnsiTheme="minorHAnsi" w:cstheme="minorHAnsi"/>
              </w:rPr>
              <w:t>244</w:t>
            </w:r>
          </w:p>
        </w:tc>
        <w:tc>
          <w:tcPr>
            <w:tcW w:w="1057" w:type="dxa"/>
            <w:tcBorders>
              <w:top w:val="nil"/>
              <w:left w:val="nil"/>
              <w:bottom w:val="nil"/>
              <w:right w:val="single" w:sz="12" w:space="0" w:color="auto"/>
            </w:tcBorders>
            <w:shd w:val="clear" w:color="auto" w:fill="auto"/>
            <w:noWrap/>
            <w:vAlign w:val="bottom"/>
          </w:tcPr>
          <w:p w14:paraId="34EFF414" w14:textId="41C89F5E" w:rsidR="000D5740" w:rsidRPr="000D5740" w:rsidRDefault="000D5740" w:rsidP="000D5740">
            <w:pPr>
              <w:jc w:val="center"/>
              <w:rPr>
                <w:rFonts w:asciiTheme="minorHAnsi" w:hAnsiTheme="minorHAnsi" w:cstheme="minorHAnsi"/>
                <w:color w:val="000000"/>
              </w:rPr>
            </w:pPr>
            <w:r w:rsidRPr="000D5740">
              <w:rPr>
                <w:rFonts w:asciiTheme="minorHAnsi" w:hAnsiTheme="minorHAnsi" w:cstheme="minorHAnsi"/>
              </w:rPr>
              <w:t>42.0%</w:t>
            </w:r>
          </w:p>
        </w:tc>
      </w:tr>
      <w:tr w:rsidR="000D5740" w:rsidRPr="00246F01" w14:paraId="33A730DB" w14:textId="77777777" w:rsidTr="000D5740">
        <w:trPr>
          <w:trHeight w:val="386"/>
        </w:trPr>
        <w:tc>
          <w:tcPr>
            <w:tcW w:w="2127" w:type="dxa"/>
            <w:tcBorders>
              <w:top w:val="single" w:sz="4" w:space="0" w:color="8EA9DB"/>
              <w:left w:val="single" w:sz="12" w:space="0" w:color="auto"/>
              <w:bottom w:val="single" w:sz="12" w:space="0" w:color="auto"/>
              <w:right w:val="nil"/>
            </w:tcBorders>
            <w:shd w:val="clear" w:color="D9E1F2" w:fill="D9E1F2"/>
            <w:noWrap/>
            <w:vAlign w:val="bottom"/>
            <w:hideMark/>
          </w:tcPr>
          <w:p w14:paraId="0BF2793C" w14:textId="77777777" w:rsidR="000D5740" w:rsidRPr="008328AA" w:rsidRDefault="000D5740" w:rsidP="000D5740">
            <w:pPr>
              <w:rPr>
                <w:rFonts w:ascii="Calibri" w:hAnsi="Calibri" w:cs="Calibri"/>
                <w:b/>
                <w:bCs/>
                <w:color w:val="000000"/>
              </w:rPr>
            </w:pPr>
            <w:r w:rsidRPr="008328AA">
              <w:rPr>
                <w:rFonts w:ascii="Calibri" w:hAnsi="Calibri" w:cs="Calibri"/>
                <w:b/>
                <w:bCs/>
                <w:color w:val="000000"/>
              </w:rPr>
              <w:t>Grand Total</w:t>
            </w:r>
          </w:p>
        </w:tc>
        <w:tc>
          <w:tcPr>
            <w:tcW w:w="1060" w:type="dxa"/>
            <w:tcBorders>
              <w:top w:val="single" w:sz="4" w:space="0" w:color="8EA9DB"/>
              <w:left w:val="nil"/>
              <w:bottom w:val="single" w:sz="12" w:space="0" w:color="auto"/>
              <w:right w:val="nil"/>
            </w:tcBorders>
            <w:shd w:val="clear" w:color="D9E1F2" w:fill="D9E1F2"/>
            <w:noWrap/>
            <w:vAlign w:val="bottom"/>
            <w:hideMark/>
          </w:tcPr>
          <w:p w14:paraId="7021BC00" w14:textId="55EDA1A5" w:rsidR="000D5740" w:rsidRPr="008328AA" w:rsidRDefault="000D5740" w:rsidP="000D5740">
            <w:pPr>
              <w:jc w:val="center"/>
              <w:rPr>
                <w:rFonts w:asciiTheme="minorHAnsi" w:hAnsiTheme="minorHAnsi" w:cstheme="minorHAnsi"/>
                <w:b/>
                <w:bCs/>
                <w:color w:val="000000"/>
              </w:rPr>
            </w:pPr>
            <w:r w:rsidRPr="008328AA">
              <w:rPr>
                <w:rFonts w:asciiTheme="minorHAnsi" w:hAnsiTheme="minorHAnsi" w:cstheme="minorHAnsi"/>
                <w:b/>
                <w:bCs/>
              </w:rPr>
              <w:t>507</w:t>
            </w:r>
          </w:p>
        </w:tc>
        <w:tc>
          <w:tcPr>
            <w:tcW w:w="1060" w:type="dxa"/>
            <w:tcBorders>
              <w:top w:val="single" w:sz="4" w:space="0" w:color="8EA9DB"/>
              <w:left w:val="nil"/>
              <w:bottom w:val="single" w:sz="12" w:space="0" w:color="auto"/>
              <w:right w:val="nil"/>
            </w:tcBorders>
            <w:shd w:val="clear" w:color="D9E1F2" w:fill="D9E1F2"/>
            <w:noWrap/>
            <w:vAlign w:val="bottom"/>
          </w:tcPr>
          <w:p w14:paraId="59363799" w14:textId="13CB668B" w:rsidR="000D5740" w:rsidRPr="008328AA" w:rsidRDefault="000D5740" w:rsidP="000D5740">
            <w:pPr>
              <w:jc w:val="center"/>
              <w:rPr>
                <w:rFonts w:asciiTheme="minorHAnsi" w:hAnsiTheme="minorHAnsi" w:cstheme="minorHAnsi"/>
                <w:b/>
                <w:bCs/>
                <w:color w:val="000000"/>
              </w:rPr>
            </w:pPr>
            <w:r w:rsidRPr="008328AA">
              <w:rPr>
                <w:rFonts w:asciiTheme="minorHAnsi" w:hAnsiTheme="minorHAnsi" w:cstheme="minorHAnsi"/>
                <w:b/>
                <w:bCs/>
              </w:rPr>
              <w:t>62.4%</w:t>
            </w:r>
          </w:p>
        </w:tc>
        <w:tc>
          <w:tcPr>
            <w:tcW w:w="1060" w:type="dxa"/>
            <w:tcBorders>
              <w:top w:val="single" w:sz="4" w:space="0" w:color="8EA9DB"/>
              <w:left w:val="nil"/>
              <w:bottom w:val="single" w:sz="12" w:space="0" w:color="auto"/>
              <w:right w:val="nil"/>
            </w:tcBorders>
            <w:shd w:val="clear" w:color="D9E1F2" w:fill="D9E1F2"/>
            <w:noWrap/>
            <w:vAlign w:val="bottom"/>
            <w:hideMark/>
          </w:tcPr>
          <w:p w14:paraId="0FFFBC21" w14:textId="4298BE88" w:rsidR="000D5740" w:rsidRPr="008328AA" w:rsidRDefault="000D5740" w:rsidP="000D5740">
            <w:pPr>
              <w:jc w:val="center"/>
              <w:rPr>
                <w:rFonts w:asciiTheme="minorHAnsi" w:hAnsiTheme="minorHAnsi" w:cstheme="minorHAnsi"/>
                <w:b/>
                <w:bCs/>
                <w:color w:val="000000"/>
              </w:rPr>
            </w:pPr>
            <w:r w:rsidRPr="008328AA">
              <w:rPr>
                <w:rFonts w:asciiTheme="minorHAnsi" w:hAnsiTheme="minorHAnsi" w:cstheme="minorHAnsi"/>
                <w:b/>
                <w:bCs/>
              </w:rPr>
              <w:t>310</w:t>
            </w:r>
          </w:p>
        </w:tc>
        <w:tc>
          <w:tcPr>
            <w:tcW w:w="1057" w:type="dxa"/>
            <w:tcBorders>
              <w:top w:val="single" w:sz="4" w:space="0" w:color="8EA9DB"/>
              <w:left w:val="nil"/>
              <w:bottom w:val="single" w:sz="12" w:space="0" w:color="auto"/>
              <w:right w:val="single" w:sz="12" w:space="0" w:color="auto"/>
            </w:tcBorders>
            <w:shd w:val="clear" w:color="D9E1F2" w:fill="D9E1F2"/>
            <w:noWrap/>
            <w:vAlign w:val="bottom"/>
          </w:tcPr>
          <w:p w14:paraId="60E105C5" w14:textId="32C23AB8" w:rsidR="000D5740" w:rsidRPr="008328AA" w:rsidRDefault="000D5740" w:rsidP="000D5740">
            <w:pPr>
              <w:jc w:val="center"/>
              <w:rPr>
                <w:rFonts w:asciiTheme="minorHAnsi" w:hAnsiTheme="minorHAnsi" w:cstheme="minorHAnsi"/>
                <w:b/>
                <w:bCs/>
                <w:color w:val="000000"/>
              </w:rPr>
            </w:pPr>
            <w:r w:rsidRPr="008328AA">
              <w:rPr>
                <w:rFonts w:asciiTheme="minorHAnsi" w:hAnsiTheme="minorHAnsi" w:cstheme="minorHAnsi"/>
                <w:b/>
                <w:bCs/>
              </w:rPr>
              <w:t>38.1%</w:t>
            </w:r>
          </w:p>
        </w:tc>
      </w:tr>
    </w:tbl>
    <w:p w14:paraId="5697BBCD" w14:textId="40DA7E0D" w:rsidR="0095013A" w:rsidRDefault="0095013A" w:rsidP="00AF0A00">
      <w:pPr>
        <w:autoSpaceDE w:val="0"/>
        <w:autoSpaceDN w:val="0"/>
        <w:adjustRightInd w:val="0"/>
        <w:spacing w:line="360" w:lineRule="auto"/>
        <w:rPr>
          <w:rFonts w:ascii="Arial" w:eastAsia="Arial" w:hAnsi="Arial" w:cs="Arial"/>
          <w:color w:val="000000"/>
        </w:rPr>
      </w:pPr>
    </w:p>
    <w:p w14:paraId="277FD8E6" w14:textId="27CF8982" w:rsidR="00001740" w:rsidRPr="00665FF1" w:rsidRDefault="00001740" w:rsidP="00AF0A00">
      <w:pPr>
        <w:autoSpaceDE w:val="0"/>
        <w:autoSpaceDN w:val="0"/>
        <w:adjustRightInd w:val="0"/>
        <w:spacing w:line="360" w:lineRule="auto"/>
        <w:rPr>
          <w:rFonts w:ascii="Arial" w:eastAsia="Arial" w:hAnsi="Arial" w:cs="Arial"/>
          <w:color w:val="000000" w:themeColor="text1"/>
        </w:rPr>
      </w:pPr>
      <w:r w:rsidRPr="00665FF1">
        <w:rPr>
          <w:rFonts w:ascii="Arial" w:eastAsia="Arial" w:hAnsi="Arial" w:cs="Arial"/>
          <w:color w:val="000000"/>
        </w:rPr>
        <w:t>The pattern of horizontal gender occupational segregation reflected in table</w:t>
      </w:r>
      <w:r w:rsidR="00025A0D" w:rsidRPr="00665FF1">
        <w:rPr>
          <w:rFonts w:ascii="Arial" w:eastAsia="Arial" w:hAnsi="Arial" w:cs="Arial"/>
          <w:color w:val="000000"/>
        </w:rPr>
        <w:t xml:space="preserve"> 5</w:t>
      </w:r>
      <w:r w:rsidR="00B00C90">
        <w:rPr>
          <w:rFonts w:ascii="Arial" w:eastAsia="Arial" w:hAnsi="Arial" w:cs="Arial"/>
          <w:color w:val="000000"/>
        </w:rPr>
        <w:t>a</w:t>
      </w:r>
      <w:r w:rsidRPr="00665FF1">
        <w:rPr>
          <w:rFonts w:ascii="Arial" w:eastAsia="Arial" w:hAnsi="Arial" w:cs="Arial"/>
          <w:color w:val="000000"/>
        </w:rPr>
        <w:t xml:space="preserve"> is largely consistent with that of our 2013 report and with patterns reported in the wider Scottish workforce. The majority of staff in administrative services and Human Resources are women and the majority in </w:t>
      </w:r>
      <w:r w:rsidR="009A4B65" w:rsidRPr="00665FF1">
        <w:rPr>
          <w:rFonts w:ascii="Arial" w:eastAsia="Arial" w:hAnsi="Arial" w:cs="Arial"/>
          <w:color w:val="000000"/>
        </w:rPr>
        <w:t>Digital</w:t>
      </w:r>
      <w:r w:rsidRPr="00665FF1">
        <w:rPr>
          <w:rFonts w:ascii="Arial" w:eastAsia="Arial" w:hAnsi="Arial" w:cs="Arial"/>
          <w:color w:val="000000"/>
        </w:rPr>
        <w:t xml:space="preserve"> are men. NES does have a higher number of women in finance and director posts than </w:t>
      </w:r>
      <w:r w:rsidR="006B5E1F" w:rsidRPr="00665FF1">
        <w:rPr>
          <w:rFonts w:ascii="Arial" w:eastAsia="Arial" w:hAnsi="Arial" w:cs="Arial"/>
          <w:color w:val="000000"/>
        </w:rPr>
        <w:t>typically found in the Scottish labour market</w:t>
      </w:r>
      <w:r w:rsidRPr="00665FF1">
        <w:rPr>
          <w:rStyle w:val="FootnoteReference"/>
          <w:rFonts w:ascii="Arial" w:eastAsia="Arial" w:hAnsi="Arial" w:cs="Arial"/>
          <w:color w:val="000000"/>
        </w:rPr>
        <w:footnoteReference w:id="14"/>
      </w:r>
      <w:r w:rsidRPr="00665FF1">
        <w:rPr>
          <w:rFonts w:ascii="Arial" w:eastAsia="Arial" w:hAnsi="Arial" w:cs="Arial"/>
          <w:color w:val="000000"/>
        </w:rPr>
        <w:t xml:space="preserve">.  </w:t>
      </w:r>
    </w:p>
    <w:p w14:paraId="277FD8E7" w14:textId="77777777" w:rsidR="00001740" w:rsidRPr="00665FF1" w:rsidRDefault="00001740" w:rsidP="00AF0A00">
      <w:pPr>
        <w:autoSpaceDE w:val="0"/>
        <w:autoSpaceDN w:val="0"/>
        <w:adjustRightInd w:val="0"/>
        <w:spacing w:line="360" w:lineRule="auto"/>
        <w:rPr>
          <w:rFonts w:ascii="Arial" w:hAnsi="Arial" w:cs="Arial"/>
          <w:color w:val="000000"/>
        </w:rPr>
      </w:pPr>
    </w:p>
    <w:p w14:paraId="416B2135" w14:textId="193786F0" w:rsidR="0088638A" w:rsidRPr="00665FF1" w:rsidRDefault="51E9A9B4" w:rsidP="00AF0A00">
      <w:pPr>
        <w:autoSpaceDE w:val="0"/>
        <w:autoSpaceDN w:val="0"/>
        <w:adjustRightInd w:val="0"/>
        <w:spacing w:line="360" w:lineRule="auto"/>
        <w:rPr>
          <w:rFonts w:ascii="Arial" w:eastAsia="Arial" w:hAnsi="Arial" w:cs="Arial"/>
          <w:color w:val="000000" w:themeColor="text1"/>
        </w:rPr>
      </w:pPr>
      <w:r w:rsidRPr="00665FF1">
        <w:rPr>
          <w:rFonts w:ascii="Arial" w:eastAsia="Arial" w:hAnsi="Arial" w:cs="Arial"/>
          <w:color w:val="000000" w:themeColor="text1"/>
        </w:rPr>
        <w:t xml:space="preserve">NES employs significant numbers of staff in educational roles. </w:t>
      </w:r>
      <w:r w:rsidR="00025A0D" w:rsidRPr="00665FF1">
        <w:rPr>
          <w:rFonts w:ascii="Arial" w:eastAsia="Arial" w:hAnsi="Arial" w:cs="Arial"/>
          <w:color w:val="000000" w:themeColor="text1"/>
        </w:rPr>
        <w:t>These include</w:t>
      </w:r>
      <w:r w:rsidRPr="00665FF1">
        <w:rPr>
          <w:rFonts w:ascii="Arial" w:eastAsia="Arial" w:hAnsi="Arial" w:cs="Arial"/>
          <w:color w:val="000000" w:themeColor="text1"/>
        </w:rPr>
        <w:t xml:space="preserve"> sessional clinical educational staff (Consultants, GP and General Dental Practice educators)</w:t>
      </w:r>
      <w:r w:rsidR="00C8283F" w:rsidRPr="00665FF1">
        <w:rPr>
          <w:rFonts w:ascii="Arial" w:eastAsia="Arial" w:hAnsi="Arial" w:cs="Arial"/>
          <w:color w:val="000000" w:themeColor="text1"/>
        </w:rPr>
        <w:t xml:space="preserve">. The </w:t>
      </w:r>
      <w:r w:rsidR="00C8283F" w:rsidRPr="00665FF1">
        <w:rPr>
          <w:rFonts w:ascii="Arial" w:eastAsia="Arial" w:hAnsi="Arial" w:cs="Arial"/>
          <w:color w:val="000000" w:themeColor="text1"/>
        </w:rPr>
        <w:lastRenderedPageBreak/>
        <w:t xml:space="preserve">gender composition of this cohort has shifted significantly </w:t>
      </w:r>
      <w:r w:rsidR="00B3306D" w:rsidRPr="00665FF1">
        <w:rPr>
          <w:rFonts w:ascii="Arial" w:eastAsia="Arial" w:hAnsi="Arial" w:cs="Arial"/>
          <w:color w:val="000000" w:themeColor="text1"/>
        </w:rPr>
        <w:t xml:space="preserve">over the </w:t>
      </w:r>
      <w:proofErr w:type="gramStart"/>
      <w:r w:rsidR="00B3306D" w:rsidRPr="00665FF1">
        <w:rPr>
          <w:rFonts w:ascii="Arial" w:eastAsia="Arial" w:hAnsi="Arial" w:cs="Arial"/>
          <w:color w:val="000000" w:themeColor="text1"/>
        </w:rPr>
        <w:t>four year</w:t>
      </w:r>
      <w:proofErr w:type="gramEnd"/>
      <w:r w:rsidR="00B3306D" w:rsidRPr="00665FF1">
        <w:rPr>
          <w:rFonts w:ascii="Arial" w:eastAsia="Arial" w:hAnsi="Arial" w:cs="Arial"/>
          <w:color w:val="000000" w:themeColor="text1"/>
        </w:rPr>
        <w:t xml:space="preserve"> period and </w:t>
      </w:r>
      <w:r w:rsidR="007C5F0D" w:rsidRPr="00665FF1">
        <w:rPr>
          <w:rFonts w:ascii="Arial" w:eastAsia="Arial" w:hAnsi="Arial" w:cs="Arial"/>
          <w:color w:val="000000" w:themeColor="text1"/>
        </w:rPr>
        <w:t>has now essentially reached gender parity.</w:t>
      </w:r>
    </w:p>
    <w:p w14:paraId="1D567A14" w14:textId="77777777" w:rsidR="0088638A" w:rsidRPr="00665FF1" w:rsidRDefault="0088638A" w:rsidP="00AF0A00">
      <w:pPr>
        <w:autoSpaceDE w:val="0"/>
        <w:autoSpaceDN w:val="0"/>
        <w:adjustRightInd w:val="0"/>
        <w:spacing w:line="360" w:lineRule="auto"/>
        <w:rPr>
          <w:rFonts w:ascii="Arial" w:eastAsia="Arial" w:hAnsi="Arial" w:cs="Arial"/>
          <w:color w:val="000000" w:themeColor="text1"/>
        </w:rPr>
      </w:pPr>
    </w:p>
    <w:p w14:paraId="277FD8E8" w14:textId="5DF6781E" w:rsidR="001D0650" w:rsidRPr="008C48EC" w:rsidRDefault="0088638A" w:rsidP="00AF0A00">
      <w:pPr>
        <w:autoSpaceDE w:val="0"/>
        <w:autoSpaceDN w:val="0"/>
        <w:adjustRightInd w:val="0"/>
        <w:spacing w:line="360" w:lineRule="auto"/>
        <w:rPr>
          <w:rFonts w:ascii="Arial" w:eastAsia="Arial" w:hAnsi="Arial" w:cs="Arial"/>
          <w:color w:val="000000" w:themeColor="text1"/>
        </w:rPr>
      </w:pPr>
      <w:r w:rsidRPr="00665FF1">
        <w:rPr>
          <w:rFonts w:ascii="Arial" w:eastAsia="Arial" w:hAnsi="Arial" w:cs="Arial"/>
          <w:color w:val="000000" w:themeColor="text1"/>
        </w:rPr>
        <w:t xml:space="preserve">Our other educational posts comprise </w:t>
      </w:r>
      <w:r w:rsidR="51E9A9B4" w:rsidRPr="00665FF1">
        <w:rPr>
          <w:rFonts w:ascii="Arial" w:eastAsia="Arial" w:hAnsi="Arial" w:cs="Arial"/>
          <w:color w:val="000000" w:themeColor="text1"/>
        </w:rPr>
        <w:t>educational project managers, practice educators, trainers and educational programme directors on Agenda for Change terms. The majority of this latter group are mostly involved with multi</w:t>
      </w:r>
      <w:r w:rsidR="00423A03" w:rsidRPr="00665FF1">
        <w:rPr>
          <w:rFonts w:ascii="Arial" w:eastAsia="Arial" w:hAnsi="Arial" w:cs="Arial"/>
          <w:color w:val="000000" w:themeColor="text1"/>
        </w:rPr>
        <w:t>-</w:t>
      </w:r>
      <w:r w:rsidR="51E9A9B4" w:rsidRPr="00665FF1">
        <w:rPr>
          <w:rFonts w:ascii="Arial" w:eastAsia="Arial" w:hAnsi="Arial" w:cs="Arial"/>
          <w:color w:val="000000" w:themeColor="text1"/>
        </w:rPr>
        <w:t>professional educational programmes or leading programmes in nursing, midwifery, allied health professions, psychology or pharmacy</w:t>
      </w:r>
      <w:r w:rsidR="00685E0E" w:rsidRPr="00665FF1">
        <w:rPr>
          <w:rFonts w:ascii="Arial" w:eastAsia="Arial" w:hAnsi="Arial" w:cs="Arial"/>
          <w:color w:val="000000" w:themeColor="text1"/>
        </w:rPr>
        <w:t>, and the majority of this cohort are women</w:t>
      </w:r>
      <w:r w:rsidR="51E9A9B4" w:rsidRPr="00665FF1">
        <w:rPr>
          <w:rFonts w:ascii="Arial" w:eastAsia="Arial" w:hAnsi="Arial" w:cs="Arial"/>
          <w:color w:val="000000" w:themeColor="text1"/>
        </w:rPr>
        <w:t xml:space="preserve">. </w:t>
      </w:r>
      <w:r w:rsidR="00685E0E">
        <w:rPr>
          <w:rFonts w:ascii="Arial" w:eastAsia="Arial" w:hAnsi="Arial" w:cs="Arial"/>
          <w:color w:val="000000" w:themeColor="text1"/>
        </w:rPr>
        <w:t xml:space="preserve">Changes to the </w:t>
      </w:r>
      <w:r w:rsidR="005F1D66">
        <w:rPr>
          <w:rFonts w:ascii="Arial" w:eastAsia="Arial" w:hAnsi="Arial" w:cs="Arial"/>
          <w:color w:val="000000" w:themeColor="text1"/>
        </w:rPr>
        <w:t>senior educator cohort in Medicine and Dentistry reflect wider changes to the gender balance of those professions</w:t>
      </w:r>
      <w:r w:rsidR="000E1617">
        <w:rPr>
          <w:rFonts w:ascii="Arial" w:eastAsia="Arial" w:hAnsi="Arial" w:cs="Arial"/>
          <w:color w:val="000000" w:themeColor="text1"/>
        </w:rPr>
        <w:t>, although</w:t>
      </w:r>
      <w:r w:rsidR="003D05F1">
        <w:rPr>
          <w:rFonts w:ascii="Arial" w:eastAsia="Arial" w:hAnsi="Arial" w:cs="Arial"/>
          <w:color w:val="000000" w:themeColor="text1"/>
        </w:rPr>
        <w:t xml:space="preserve"> the rate of increase in </w:t>
      </w:r>
      <w:r w:rsidR="00EA4004">
        <w:rPr>
          <w:rFonts w:ascii="Arial" w:eastAsia="Arial" w:hAnsi="Arial" w:cs="Arial"/>
          <w:color w:val="000000" w:themeColor="text1"/>
        </w:rPr>
        <w:t xml:space="preserve">female </w:t>
      </w:r>
      <w:r w:rsidR="003D05F1">
        <w:rPr>
          <w:rFonts w:ascii="Arial" w:eastAsia="Arial" w:hAnsi="Arial" w:cs="Arial"/>
          <w:color w:val="000000" w:themeColor="text1"/>
        </w:rPr>
        <w:t>medical educators has been higher than that of</w:t>
      </w:r>
      <w:r w:rsidR="00EA4004">
        <w:rPr>
          <w:rFonts w:ascii="Arial" w:eastAsia="Arial" w:hAnsi="Arial" w:cs="Arial"/>
          <w:color w:val="000000" w:themeColor="text1"/>
        </w:rPr>
        <w:t xml:space="preserve"> female consultants overall</w:t>
      </w:r>
      <w:r w:rsidR="00EA4004">
        <w:rPr>
          <w:rStyle w:val="FootnoteReference"/>
          <w:rFonts w:ascii="Arial" w:eastAsia="Arial" w:hAnsi="Arial" w:cs="Arial"/>
          <w:color w:val="000000" w:themeColor="text1"/>
        </w:rPr>
        <w:footnoteReference w:id="15"/>
      </w:r>
      <w:r w:rsidR="00EA4004">
        <w:rPr>
          <w:rFonts w:ascii="Arial" w:eastAsia="Arial" w:hAnsi="Arial" w:cs="Arial"/>
          <w:color w:val="000000" w:themeColor="text1"/>
        </w:rPr>
        <w:t>.</w:t>
      </w:r>
      <w:r w:rsidR="003D05F1">
        <w:rPr>
          <w:rFonts w:ascii="Arial" w:eastAsia="Arial" w:hAnsi="Arial" w:cs="Arial"/>
          <w:color w:val="000000" w:themeColor="text1"/>
        </w:rPr>
        <w:t xml:space="preserve"> </w:t>
      </w:r>
      <w:r w:rsidR="00665FF1" w:rsidRPr="00665FF1">
        <w:rPr>
          <w:rFonts w:ascii="Arial" w:eastAsia="Arial" w:hAnsi="Arial" w:cs="Arial"/>
          <w:color w:val="000000" w:themeColor="text1"/>
          <w:highlight w:val="yellow"/>
        </w:rPr>
        <w:t xml:space="preserve"> </w:t>
      </w:r>
    </w:p>
    <w:p w14:paraId="277FD8E9" w14:textId="77777777" w:rsidR="0085715A" w:rsidRDefault="0085715A" w:rsidP="00AF0A00">
      <w:pPr>
        <w:autoSpaceDE w:val="0"/>
        <w:autoSpaceDN w:val="0"/>
        <w:adjustRightInd w:val="0"/>
        <w:spacing w:line="360" w:lineRule="auto"/>
        <w:rPr>
          <w:rFonts w:ascii="Arial" w:hAnsi="Arial" w:cs="Arial"/>
          <w:color w:val="000000"/>
        </w:rPr>
      </w:pPr>
    </w:p>
    <w:p w14:paraId="277FD8EB" w14:textId="43924641" w:rsidR="00A32902" w:rsidRPr="00483C93" w:rsidRDefault="00483C93" w:rsidP="00AF0A00">
      <w:pPr>
        <w:autoSpaceDE w:val="0"/>
        <w:autoSpaceDN w:val="0"/>
        <w:adjustRightInd w:val="0"/>
        <w:spacing w:line="360" w:lineRule="auto"/>
        <w:rPr>
          <w:rFonts w:ascii="Arial" w:eastAsia="Arial" w:hAnsi="Arial" w:cs="Arial"/>
          <w:b/>
          <w:color w:val="000000" w:themeColor="text1"/>
          <w:sz w:val="28"/>
        </w:rPr>
      </w:pPr>
      <w:r>
        <w:rPr>
          <w:rFonts w:ascii="Arial" w:eastAsia="Arial" w:hAnsi="Arial" w:cs="Arial"/>
          <w:b/>
          <w:color w:val="000000" w:themeColor="text1"/>
          <w:sz w:val="28"/>
        </w:rPr>
        <w:t xml:space="preserve">6. </w:t>
      </w:r>
      <w:r w:rsidR="00742DBE">
        <w:rPr>
          <w:rFonts w:ascii="Arial" w:eastAsia="Arial" w:hAnsi="Arial" w:cs="Arial"/>
          <w:b/>
          <w:color w:val="000000" w:themeColor="text1"/>
          <w:sz w:val="28"/>
        </w:rPr>
        <w:t>D</w:t>
      </w:r>
      <w:r w:rsidR="0084364A">
        <w:rPr>
          <w:rFonts w:ascii="Arial" w:eastAsia="Arial" w:hAnsi="Arial" w:cs="Arial"/>
          <w:b/>
          <w:color w:val="000000" w:themeColor="text1"/>
          <w:sz w:val="28"/>
        </w:rPr>
        <w:t>octors in Training (DiTs</w:t>
      </w:r>
      <w:r w:rsidR="00FC7FC2" w:rsidRPr="00AF0A00">
        <w:rPr>
          <w:rFonts w:ascii="Arial" w:eastAsia="Arial" w:hAnsi="Arial" w:cs="Arial"/>
          <w:b/>
          <w:color w:val="000000" w:themeColor="text1"/>
          <w:sz w:val="28"/>
        </w:rPr>
        <w:t>)</w:t>
      </w:r>
      <w:r w:rsidR="0084364A">
        <w:rPr>
          <w:rFonts w:ascii="Arial" w:eastAsia="Arial" w:hAnsi="Arial" w:cs="Arial"/>
          <w:b/>
          <w:color w:val="000000" w:themeColor="text1"/>
          <w:sz w:val="28"/>
        </w:rPr>
        <w:t xml:space="preserve"> and Medical Fellows</w:t>
      </w:r>
    </w:p>
    <w:p w14:paraId="277FD8EC" w14:textId="6F2DEE58" w:rsidR="0081319B" w:rsidRDefault="0084364A" w:rsidP="00590A13">
      <w:pPr>
        <w:autoSpaceDE w:val="0"/>
        <w:autoSpaceDN w:val="0"/>
        <w:adjustRightInd w:val="0"/>
        <w:spacing w:line="360" w:lineRule="auto"/>
        <w:rPr>
          <w:rFonts w:ascii="Arial" w:eastAsia="Arial" w:hAnsi="Arial" w:cs="Arial"/>
          <w:color w:val="000000" w:themeColor="text1"/>
          <w:lang w:val="en-US"/>
        </w:rPr>
      </w:pPr>
      <w:r>
        <w:rPr>
          <w:rFonts w:ascii="Arial" w:eastAsia="Arial" w:hAnsi="Arial" w:cs="Arial"/>
          <w:color w:val="000000"/>
        </w:rPr>
        <w:t xml:space="preserve">Under the Lead Employer arrangements for medical trainees, </w:t>
      </w:r>
      <w:r w:rsidRPr="00475C46">
        <w:rPr>
          <w:rFonts w:ascii="Arial" w:eastAsia="Arial" w:hAnsi="Arial" w:cs="Arial"/>
          <w:color w:val="000000" w:themeColor="text1"/>
          <w:lang w:val="en-US"/>
        </w:rPr>
        <w:t xml:space="preserve">NES is the Lead Employer for </w:t>
      </w:r>
      <w:r>
        <w:rPr>
          <w:rFonts w:ascii="Arial" w:eastAsia="Arial" w:hAnsi="Arial" w:cs="Arial"/>
          <w:color w:val="000000" w:themeColor="text1"/>
          <w:lang w:val="en-US"/>
        </w:rPr>
        <w:t>General Practice</w:t>
      </w:r>
      <w:r w:rsidRPr="00475C46">
        <w:rPr>
          <w:rFonts w:ascii="Arial" w:eastAsia="Arial" w:hAnsi="Arial" w:cs="Arial"/>
          <w:color w:val="000000" w:themeColor="text1"/>
          <w:lang w:val="en-US"/>
        </w:rPr>
        <w:t xml:space="preserve"> </w:t>
      </w:r>
      <w:r w:rsidR="00DF2718">
        <w:rPr>
          <w:rFonts w:ascii="Arial" w:eastAsia="Arial" w:hAnsi="Arial" w:cs="Arial"/>
          <w:color w:val="000000" w:themeColor="text1"/>
          <w:lang w:val="en-US"/>
        </w:rPr>
        <w:t xml:space="preserve">and national programme </w:t>
      </w:r>
      <w:r w:rsidRPr="00475C46">
        <w:rPr>
          <w:rFonts w:ascii="Arial" w:eastAsia="Arial" w:hAnsi="Arial" w:cs="Arial"/>
          <w:color w:val="000000" w:themeColor="text1"/>
          <w:lang w:val="en-US"/>
        </w:rPr>
        <w:t>specialty trainees</w:t>
      </w:r>
      <w:r w:rsidR="00A5018C">
        <w:rPr>
          <w:rFonts w:ascii="Arial" w:eastAsia="Arial" w:hAnsi="Arial" w:cs="Arial"/>
          <w:color w:val="000000" w:themeColor="text1"/>
          <w:lang w:val="en-US"/>
        </w:rPr>
        <w:t xml:space="preserve"> and a </w:t>
      </w:r>
      <w:r w:rsidR="00FD6357">
        <w:rPr>
          <w:rFonts w:ascii="Arial" w:eastAsia="Arial" w:hAnsi="Arial" w:cs="Arial"/>
          <w:color w:val="000000" w:themeColor="text1"/>
          <w:lang w:val="en-US"/>
        </w:rPr>
        <w:t>number of Fellowship Programmes</w:t>
      </w:r>
      <w:r w:rsidR="00EB03E9">
        <w:rPr>
          <w:rStyle w:val="FootnoteReference"/>
          <w:rFonts w:ascii="Arial" w:eastAsia="Arial" w:hAnsi="Arial" w:cs="Arial"/>
          <w:color w:val="000000" w:themeColor="text1"/>
          <w:lang w:val="en-US"/>
        </w:rPr>
        <w:footnoteReference w:id="16"/>
      </w:r>
      <w:r w:rsidR="008322BD">
        <w:rPr>
          <w:rFonts w:ascii="Arial" w:eastAsia="Arial" w:hAnsi="Arial" w:cs="Arial"/>
          <w:color w:val="000000" w:themeColor="text1"/>
          <w:lang w:val="en-US"/>
        </w:rPr>
        <w:t>.</w:t>
      </w:r>
      <w:r w:rsidR="00B24974">
        <w:rPr>
          <w:rFonts w:ascii="Arial" w:eastAsia="Arial" w:hAnsi="Arial" w:cs="Arial"/>
          <w:color w:val="000000" w:themeColor="text1"/>
          <w:lang w:val="en-US"/>
        </w:rPr>
        <w:t xml:space="preserve"> </w:t>
      </w:r>
    </w:p>
    <w:p w14:paraId="20E946D9" w14:textId="77777777" w:rsidR="008322BD" w:rsidRPr="008C48EC" w:rsidRDefault="008322BD" w:rsidP="00590A13">
      <w:pPr>
        <w:autoSpaceDE w:val="0"/>
        <w:autoSpaceDN w:val="0"/>
        <w:adjustRightInd w:val="0"/>
        <w:spacing w:line="360" w:lineRule="auto"/>
        <w:rPr>
          <w:rFonts w:ascii="Arial" w:eastAsia="Arial" w:hAnsi="Arial" w:cs="Arial"/>
          <w:color w:val="000000" w:themeColor="text1"/>
        </w:rPr>
      </w:pPr>
    </w:p>
    <w:p w14:paraId="277FD8FF" w14:textId="4AFCD9D1" w:rsidR="002E51FE" w:rsidRPr="003E2DC8" w:rsidRDefault="003E2DC8" w:rsidP="00F86318">
      <w:pPr>
        <w:autoSpaceDE w:val="0"/>
        <w:autoSpaceDN w:val="0"/>
        <w:adjustRightInd w:val="0"/>
        <w:spacing w:line="360" w:lineRule="auto"/>
        <w:ind w:left="142"/>
        <w:rPr>
          <w:rFonts w:ascii="Arial" w:eastAsia="Arial" w:hAnsi="Arial" w:cs="Arial"/>
          <w:color w:val="000000"/>
        </w:rPr>
      </w:pPr>
      <w:r w:rsidRPr="003E2DC8">
        <w:rPr>
          <w:rFonts w:ascii="Arial" w:eastAsia="Arial" w:hAnsi="Arial" w:cs="Arial"/>
          <w:color w:val="000000"/>
        </w:rPr>
        <w:t>Table 6: DiTs and Fellows by gender</w:t>
      </w:r>
    </w:p>
    <w:tbl>
      <w:tblPr>
        <w:tblW w:w="6246" w:type="dxa"/>
        <w:tblInd w:w="118" w:type="dxa"/>
        <w:tblLook w:val="04A0" w:firstRow="1" w:lastRow="0" w:firstColumn="1" w:lastColumn="0" w:noHBand="0" w:noVBand="1"/>
      </w:tblPr>
      <w:tblGrid>
        <w:gridCol w:w="4240"/>
        <w:gridCol w:w="960"/>
        <w:gridCol w:w="1046"/>
      </w:tblGrid>
      <w:tr w:rsidR="00FF3C8A" w14:paraId="7D1A074D" w14:textId="77777777" w:rsidTr="00DC32D0">
        <w:trPr>
          <w:trHeight w:val="315"/>
        </w:trPr>
        <w:tc>
          <w:tcPr>
            <w:tcW w:w="4240" w:type="dxa"/>
            <w:tcBorders>
              <w:top w:val="single" w:sz="12" w:space="0" w:color="auto"/>
              <w:left w:val="single" w:sz="12" w:space="0" w:color="auto"/>
              <w:bottom w:val="single" w:sz="4" w:space="0" w:color="8EA9DB"/>
              <w:right w:val="nil"/>
            </w:tcBorders>
            <w:shd w:val="clear" w:color="D9E1F2" w:fill="D9E1F2"/>
            <w:noWrap/>
            <w:vAlign w:val="bottom"/>
            <w:hideMark/>
          </w:tcPr>
          <w:p w14:paraId="77676E9C" w14:textId="77777777" w:rsidR="00FF3C8A" w:rsidRDefault="00FF3C8A">
            <w:pPr>
              <w:rPr>
                <w:rFonts w:ascii="Calibri" w:hAnsi="Calibri" w:cs="Calibri"/>
                <w:b/>
                <w:bCs/>
                <w:color w:val="000000"/>
              </w:rPr>
            </w:pPr>
            <w:r>
              <w:rPr>
                <w:rFonts w:ascii="Calibri" w:hAnsi="Calibri" w:cs="Calibri"/>
                <w:b/>
                <w:bCs/>
                <w:color w:val="000000"/>
              </w:rPr>
              <w:t>DiTs and Fellows</w:t>
            </w:r>
          </w:p>
        </w:tc>
        <w:tc>
          <w:tcPr>
            <w:tcW w:w="960" w:type="dxa"/>
            <w:tcBorders>
              <w:top w:val="single" w:sz="12" w:space="0" w:color="auto"/>
              <w:left w:val="nil"/>
              <w:bottom w:val="single" w:sz="4" w:space="0" w:color="8EA9DB"/>
              <w:right w:val="nil"/>
            </w:tcBorders>
            <w:shd w:val="clear" w:color="D9E1F2" w:fill="D9E1F2"/>
            <w:noWrap/>
            <w:vAlign w:val="bottom"/>
            <w:hideMark/>
          </w:tcPr>
          <w:p w14:paraId="560B4E2E" w14:textId="77777777" w:rsidR="00FF3C8A" w:rsidRDefault="00FF3C8A">
            <w:pPr>
              <w:jc w:val="center"/>
              <w:rPr>
                <w:rFonts w:ascii="Calibri" w:hAnsi="Calibri" w:cs="Calibri"/>
                <w:b/>
                <w:bCs/>
                <w:color w:val="000000"/>
              </w:rPr>
            </w:pPr>
            <w:r>
              <w:rPr>
                <w:rFonts w:ascii="Calibri" w:hAnsi="Calibri" w:cs="Calibri"/>
                <w:b/>
                <w:bCs/>
                <w:color w:val="000000"/>
              </w:rPr>
              <w:t>N</w:t>
            </w:r>
          </w:p>
        </w:tc>
        <w:tc>
          <w:tcPr>
            <w:tcW w:w="1046" w:type="dxa"/>
            <w:tcBorders>
              <w:top w:val="single" w:sz="12" w:space="0" w:color="auto"/>
              <w:left w:val="nil"/>
              <w:bottom w:val="single" w:sz="4" w:space="0" w:color="8EA9DB"/>
              <w:right w:val="single" w:sz="12" w:space="0" w:color="auto"/>
            </w:tcBorders>
            <w:shd w:val="clear" w:color="D9E1F2" w:fill="D9E1F2"/>
            <w:noWrap/>
            <w:vAlign w:val="bottom"/>
            <w:hideMark/>
          </w:tcPr>
          <w:p w14:paraId="0AC33021" w14:textId="77777777" w:rsidR="00FF3C8A" w:rsidRDefault="00FF3C8A">
            <w:pPr>
              <w:jc w:val="center"/>
              <w:rPr>
                <w:rFonts w:ascii="Calibri" w:hAnsi="Calibri" w:cs="Calibri"/>
                <w:b/>
                <w:bCs/>
                <w:color w:val="000000"/>
              </w:rPr>
            </w:pPr>
            <w:r>
              <w:rPr>
                <w:rFonts w:ascii="Calibri" w:hAnsi="Calibri" w:cs="Calibri"/>
                <w:b/>
                <w:bCs/>
                <w:color w:val="000000"/>
              </w:rPr>
              <w:t>%</w:t>
            </w:r>
          </w:p>
        </w:tc>
      </w:tr>
      <w:tr w:rsidR="00FF3C8A" w14:paraId="5D2A1F00" w14:textId="77777777" w:rsidTr="00DC32D0">
        <w:trPr>
          <w:trHeight w:val="315"/>
        </w:trPr>
        <w:tc>
          <w:tcPr>
            <w:tcW w:w="4240" w:type="dxa"/>
            <w:tcBorders>
              <w:top w:val="nil"/>
              <w:left w:val="single" w:sz="12" w:space="0" w:color="auto"/>
              <w:bottom w:val="nil"/>
              <w:right w:val="nil"/>
            </w:tcBorders>
            <w:shd w:val="clear" w:color="auto" w:fill="auto"/>
            <w:noWrap/>
            <w:vAlign w:val="bottom"/>
            <w:hideMark/>
          </w:tcPr>
          <w:p w14:paraId="6A970058" w14:textId="77777777" w:rsidR="00FF3C8A" w:rsidRDefault="00FF3C8A">
            <w:pPr>
              <w:rPr>
                <w:rFonts w:ascii="Calibri" w:hAnsi="Calibri" w:cs="Calibri"/>
                <w:color w:val="000000"/>
              </w:rPr>
            </w:pPr>
            <w:r>
              <w:rPr>
                <w:rFonts w:ascii="Calibri" w:hAnsi="Calibri" w:cs="Calibri"/>
                <w:color w:val="000000"/>
              </w:rPr>
              <w:t>Male</w:t>
            </w:r>
          </w:p>
        </w:tc>
        <w:tc>
          <w:tcPr>
            <w:tcW w:w="960" w:type="dxa"/>
            <w:tcBorders>
              <w:top w:val="nil"/>
              <w:left w:val="nil"/>
              <w:bottom w:val="nil"/>
              <w:right w:val="nil"/>
            </w:tcBorders>
            <w:shd w:val="clear" w:color="auto" w:fill="auto"/>
            <w:noWrap/>
            <w:vAlign w:val="bottom"/>
            <w:hideMark/>
          </w:tcPr>
          <w:p w14:paraId="3DF5150C" w14:textId="77777777" w:rsidR="00FF3C8A" w:rsidRDefault="00FF3C8A">
            <w:pPr>
              <w:jc w:val="center"/>
              <w:rPr>
                <w:rFonts w:ascii="Calibri" w:hAnsi="Calibri" w:cs="Calibri"/>
                <w:color w:val="000000"/>
              </w:rPr>
            </w:pPr>
            <w:r>
              <w:rPr>
                <w:rFonts w:ascii="Calibri" w:hAnsi="Calibri" w:cs="Calibri"/>
                <w:color w:val="000000"/>
              </w:rPr>
              <w:t>591</w:t>
            </w:r>
          </w:p>
        </w:tc>
        <w:tc>
          <w:tcPr>
            <w:tcW w:w="1046" w:type="dxa"/>
            <w:tcBorders>
              <w:top w:val="nil"/>
              <w:left w:val="nil"/>
              <w:bottom w:val="nil"/>
              <w:right w:val="single" w:sz="12" w:space="0" w:color="auto"/>
            </w:tcBorders>
            <w:shd w:val="clear" w:color="auto" w:fill="auto"/>
            <w:noWrap/>
            <w:vAlign w:val="bottom"/>
            <w:hideMark/>
          </w:tcPr>
          <w:p w14:paraId="7E354878" w14:textId="77777777" w:rsidR="00FF3C8A" w:rsidRDefault="00FF3C8A">
            <w:pPr>
              <w:jc w:val="center"/>
              <w:rPr>
                <w:rFonts w:ascii="Calibri" w:hAnsi="Calibri" w:cs="Calibri"/>
                <w:color w:val="000000"/>
              </w:rPr>
            </w:pPr>
            <w:r>
              <w:rPr>
                <w:rFonts w:ascii="Calibri" w:hAnsi="Calibri" w:cs="Calibri"/>
                <w:color w:val="000000"/>
              </w:rPr>
              <w:t>36.4%</w:t>
            </w:r>
          </w:p>
        </w:tc>
      </w:tr>
      <w:tr w:rsidR="00FF3C8A" w14:paraId="7EB914D4" w14:textId="77777777" w:rsidTr="00DC32D0">
        <w:trPr>
          <w:trHeight w:val="315"/>
        </w:trPr>
        <w:tc>
          <w:tcPr>
            <w:tcW w:w="4240" w:type="dxa"/>
            <w:tcBorders>
              <w:top w:val="nil"/>
              <w:left w:val="single" w:sz="12" w:space="0" w:color="auto"/>
              <w:bottom w:val="nil"/>
              <w:right w:val="nil"/>
            </w:tcBorders>
            <w:shd w:val="clear" w:color="auto" w:fill="auto"/>
            <w:noWrap/>
            <w:vAlign w:val="bottom"/>
            <w:hideMark/>
          </w:tcPr>
          <w:p w14:paraId="33F42322" w14:textId="77777777" w:rsidR="00FF3C8A" w:rsidRDefault="00FF3C8A">
            <w:pPr>
              <w:rPr>
                <w:rFonts w:ascii="Calibri" w:hAnsi="Calibri" w:cs="Calibri"/>
                <w:color w:val="000000"/>
              </w:rPr>
            </w:pPr>
            <w:r>
              <w:rPr>
                <w:rFonts w:ascii="Calibri" w:hAnsi="Calibri" w:cs="Calibri"/>
                <w:color w:val="000000"/>
              </w:rPr>
              <w:t>Female</w:t>
            </w:r>
          </w:p>
        </w:tc>
        <w:tc>
          <w:tcPr>
            <w:tcW w:w="960" w:type="dxa"/>
            <w:tcBorders>
              <w:top w:val="nil"/>
              <w:left w:val="nil"/>
              <w:bottom w:val="nil"/>
              <w:right w:val="nil"/>
            </w:tcBorders>
            <w:shd w:val="clear" w:color="auto" w:fill="auto"/>
            <w:noWrap/>
            <w:vAlign w:val="bottom"/>
            <w:hideMark/>
          </w:tcPr>
          <w:p w14:paraId="37F4AAEA" w14:textId="77777777" w:rsidR="00FF3C8A" w:rsidRDefault="00FF3C8A">
            <w:pPr>
              <w:jc w:val="center"/>
              <w:rPr>
                <w:rFonts w:ascii="Calibri" w:hAnsi="Calibri" w:cs="Calibri"/>
                <w:color w:val="000000"/>
              </w:rPr>
            </w:pPr>
            <w:r>
              <w:rPr>
                <w:rFonts w:ascii="Calibri" w:hAnsi="Calibri" w:cs="Calibri"/>
                <w:color w:val="000000"/>
              </w:rPr>
              <w:t>1032</w:t>
            </w:r>
          </w:p>
        </w:tc>
        <w:tc>
          <w:tcPr>
            <w:tcW w:w="1046" w:type="dxa"/>
            <w:tcBorders>
              <w:top w:val="nil"/>
              <w:left w:val="nil"/>
              <w:bottom w:val="nil"/>
              <w:right w:val="single" w:sz="12" w:space="0" w:color="auto"/>
            </w:tcBorders>
            <w:shd w:val="clear" w:color="auto" w:fill="auto"/>
            <w:noWrap/>
            <w:vAlign w:val="bottom"/>
            <w:hideMark/>
          </w:tcPr>
          <w:p w14:paraId="404DAB80" w14:textId="77777777" w:rsidR="00FF3C8A" w:rsidRDefault="00FF3C8A">
            <w:pPr>
              <w:jc w:val="center"/>
              <w:rPr>
                <w:rFonts w:ascii="Calibri" w:hAnsi="Calibri" w:cs="Calibri"/>
                <w:color w:val="000000"/>
              </w:rPr>
            </w:pPr>
            <w:r>
              <w:rPr>
                <w:rFonts w:ascii="Calibri" w:hAnsi="Calibri" w:cs="Calibri"/>
                <w:color w:val="000000"/>
              </w:rPr>
              <w:t>63.6%</w:t>
            </w:r>
          </w:p>
        </w:tc>
      </w:tr>
      <w:tr w:rsidR="00FF3C8A" w14:paraId="5BC80B79" w14:textId="77777777" w:rsidTr="00DC32D0">
        <w:trPr>
          <w:trHeight w:val="330"/>
        </w:trPr>
        <w:tc>
          <w:tcPr>
            <w:tcW w:w="4240" w:type="dxa"/>
            <w:tcBorders>
              <w:top w:val="single" w:sz="4" w:space="0" w:color="8EA9DB"/>
              <w:left w:val="single" w:sz="12" w:space="0" w:color="auto"/>
              <w:bottom w:val="single" w:sz="12" w:space="0" w:color="auto"/>
              <w:right w:val="nil"/>
            </w:tcBorders>
            <w:shd w:val="clear" w:color="D9E1F2" w:fill="D9E1F2"/>
            <w:noWrap/>
            <w:vAlign w:val="bottom"/>
            <w:hideMark/>
          </w:tcPr>
          <w:p w14:paraId="1D610639" w14:textId="77777777" w:rsidR="00FF3C8A" w:rsidRDefault="00FF3C8A">
            <w:pPr>
              <w:rPr>
                <w:rFonts w:ascii="Calibri" w:hAnsi="Calibri" w:cs="Calibri"/>
                <w:b/>
                <w:bCs/>
                <w:color w:val="000000"/>
              </w:rPr>
            </w:pPr>
            <w:r>
              <w:rPr>
                <w:rFonts w:ascii="Calibri" w:hAnsi="Calibri" w:cs="Calibri"/>
                <w:b/>
                <w:bCs/>
                <w:color w:val="000000"/>
              </w:rPr>
              <w:t>Grand Total</w:t>
            </w:r>
          </w:p>
        </w:tc>
        <w:tc>
          <w:tcPr>
            <w:tcW w:w="960" w:type="dxa"/>
            <w:tcBorders>
              <w:top w:val="single" w:sz="4" w:space="0" w:color="8EA9DB"/>
              <w:left w:val="nil"/>
              <w:bottom w:val="single" w:sz="12" w:space="0" w:color="auto"/>
              <w:right w:val="nil"/>
            </w:tcBorders>
            <w:shd w:val="clear" w:color="D9E1F2" w:fill="D9E1F2"/>
            <w:noWrap/>
            <w:vAlign w:val="bottom"/>
            <w:hideMark/>
          </w:tcPr>
          <w:p w14:paraId="2E388044" w14:textId="77777777" w:rsidR="00FF3C8A" w:rsidRDefault="00FF3C8A">
            <w:pPr>
              <w:jc w:val="center"/>
              <w:rPr>
                <w:rFonts w:ascii="Calibri" w:hAnsi="Calibri" w:cs="Calibri"/>
                <w:b/>
                <w:bCs/>
                <w:color w:val="000000"/>
              </w:rPr>
            </w:pPr>
            <w:r>
              <w:rPr>
                <w:rFonts w:ascii="Calibri" w:hAnsi="Calibri" w:cs="Calibri"/>
                <w:b/>
                <w:bCs/>
                <w:color w:val="000000"/>
              </w:rPr>
              <w:t>1623</w:t>
            </w:r>
          </w:p>
        </w:tc>
        <w:tc>
          <w:tcPr>
            <w:tcW w:w="1046" w:type="dxa"/>
            <w:tcBorders>
              <w:top w:val="single" w:sz="4" w:space="0" w:color="8EA9DB"/>
              <w:left w:val="nil"/>
              <w:bottom w:val="single" w:sz="12" w:space="0" w:color="auto"/>
              <w:right w:val="single" w:sz="12" w:space="0" w:color="auto"/>
            </w:tcBorders>
            <w:shd w:val="clear" w:color="D9E1F2" w:fill="D9E1F2"/>
            <w:noWrap/>
            <w:vAlign w:val="bottom"/>
            <w:hideMark/>
          </w:tcPr>
          <w:p w14:paraId="489D7616" w14:textId="77777777" w:rsidR="00FF3C8A" w:rsidRDefault="00FF3C8A">
            <w:pPr>
              <w:jc w:val="center"/>
              <w:rPr>
                <w:rFonts w:ascii="Calibri" w:hAnsi="Calibri" w:cs="Calibri"/>
                <w:b/>
                <w:bCs/>
                <w:color w:val="000000"/>
              </w:rPr>
            </w:pPr>
            <w:r>
              <w:rPr>
                <w:rFonts w:ascii="Calibri" w:hAnsi="Calibri" w:cs="Calibri"/>
                <w:b/>
                <w:bCs/>
                <w:color w:val="000000"/>
              </w:rPr>
              <w:t>100.0%</w:t>
            </w:r>
          </w:p>
        </w:tc>
      </w:tr>
    </w:tbl>
    <w:p w14:paraId="10986489" w14:textId="77777777" w:rsidR="00FF3C8A" w:rsidRDefault="00FF3C8A" w:rsidP="00AF0A00">
      <w:pPr>
        <w:autoSpaceDE w:val="0"/>
        <w:autoSpaceDN w:val="0"/>
        <w:adjustRightInd w:val="0"/>
        <w:spacing w:line="360" w:lineRule="auto"/>
        <w:rPr>
          <w:rFonts w:ascii="Arial" w:hAnsi="Arial" w:cs="Arial"/>
          <w:color w:val="000000"/>
        </w:rPr>
      </w:pPr>
    </w:p>
    <w:p w14:paraId="277FD902" w14:textId="585D29B2" w:rsidR="00E31963" w:rsidRDefault="00FC7FC2" w:rsidP="00483C93">
      <w:pPr>
        <w:autoSpaceDE w:val="0"/>
        <w:autoSpaceDN w:val="0"/>
        <w:adjustRightInd w:val="0"/>
        <w:spacing w:line="360" w:lineRule="auto"/>
        <w:rPr>
          <w:rFonts w:ascii="Arial" w:hAnsi="Arial" w:cs="Arial"/>
          <w:color w:val="000000"/>
        </w:rPr>
      </w:pPr>
      <w:r>
        <w:rPr>
          <w:rFonts w:ascii="Arial" w:hAnsi="Arial" w:cs="Arial"/>
          <w:color w:val="000000"/>
        </w:rPr>
        <w:t>Table 7</w:t>
      </w:r>
      <w:r w:rsidR="002D3508">
        <w:rPr>
          <w:rFonts w:ascii="Arial" w:hAnsi="Arial" w:cs="Arial"/>
          <w:color w:val="000000"/>
        </w:rPr>
        <w:t>: W</w:t>
      </w:r>
      <w:r>
        <w:rPr>
          <w:rFonts w:ascii="Arial" w:hAnsi="Arial" w:cs="Arial"/>
          <w:color w:val="000000"/>
        </w:rPr>
        <w:t xml:space="preserve">orking pattern of </w:t>
      </w:r>
      <w:r w:rsidR="00764989">
        <w:rPr>
          <w:rFonts w:ascii="Arial" w:hAnsi="Arial" w:cs="Arial"/>
          <w:color w:val="000000"/>
        </w:rPr>
        <w:t>Doctors in Train</w:t>
      </w:r>
      <w:r w:rsidR="00764989" w:rsidRPr="00FA4866">
        <w:rPr>
          <w:rFonts w:ascii="Arial" w:hAnsi="Arial" w:cs="Arial"/>
          <w:color w:val="000000"/>
        </w:rPr>
        <w:t>ing</w:t>
      </w:r>
      <w:r w:rsidR="002D3508">
        <w:rPr>
          <w:rFonts w:ascii="Arial" w:hAnsi="Arial" w:cs="Arial"/>
          <w:color w:val="000000"/>
        </w:rPr>
        <w:t xml:space="preserve"> by gender</w:t>
      </w:r>
    </w:p>
    <w:tbl>
      <w:tblPr>
        <w:tblW w:w="6364" w:type="dxa"/>
        <w:tblLook w:val="04A0" w:firstRow="1" w:lastRow="0" w:firstColumn="1" w:lastColumn="0" w:noHBand="0" w:noVBand="1"/>
      </w:tblPr>
      <w:tblGrid>
        <w:gridCol w:w="2127"/>
        <w:gridCol w:w="1060"/>
        <w:gridCol w:w="1060"/>
        <w:gridCol w:w="1060"/>
        <w:gridCol w:w="1057"/>
      </w:tblGrid>
      <w:tr w:rsidR="00DC32D0" w:rsidRPr="00246F01" w14:paraId="34E53D28" w14:textId="77777777" w:rsidTr="002F0800">
        <w:trPr>
          <w:trHeight w:val="300"/>
        </w:trPr>
        <w:tc>
          <w:tcPr>
            <w:tcW w:w="2127" w:type="dxa"/>
            <w:vMerge w:val="restart"/>
            <w:tcBorders>
              <w:top w:val="single" w:sz="12" w:space="0" w:color="auto"/>
              <w:left w:val="single" w:sz="12" w:space="0" w:color="auto"/>
              <w:right w:val="nil"/>
            </w:tcBorders>
            <w:shd w:val="clear" w:color="D9E1F2" w:fill="D9E1F2"/>
            <w:noWrap/>
            <w:vAlign w:val="center"/>
            <w:hideMark/>
          </w:tcPr>
          <w:p w14:paraId="0C3CDAFE" w14:textId="4EB17A94" w:rsidR="00DC32D0" w:rsidRPr="00246F01" w:rsidRDefault="00DC32D0" w:rsidP="00DC32D0">
            <w:r w:rsidRPr="00246F01">
              <w:rPr>
                <w:rFonts w:ascii="Calibri" w:hAnsi="Calibri" w:cs="Calibri"/>
                <w:b/>
                <w:bCs/>
                <w:color w:val="000000"/>
              </w:rPr>
              <w:t>DiTs and Fellows</w:t>
            </w:r>
          </w:p>
        </w:tc>
        <w:tc>
          <w:tcPr>
            <w:tcW w:w="2120" w:type="dxa"/>
            <w:gridSpan w:val="2"/>
            <w:tcBorders>
              <w:top w:val="single" w:sz="12" w:space="0" w:color="auto"/>
              <w:left w:val="nil"/>
              <w:bottom w:val="nil"/>
              <w:right w:val="nil"/>
            </w:tcBorders>
            <w:shd w:val="clear" w:color="D9E1F2" w:fill="D9E1F2"/>
            <w:noWrap/>
            <w:vAlign w:val="bottom"/>
            <w:hideMark/>
          </w:tcPr>
          <w:p w14:paraId="35C1075A" w14:textId="5DDEA541" w:rsidR="00DC32D0" w:rsidRPr="00246F01" w:rsidRDefault="00DC32D0">
            <w:pPr>
              <w:jc w:val="center"/>
              <w:rPr>
                <w:rFonts w:ascii="Calibri" w:hAnsi="Calibri" w:cs="Calibri"/>
                <w:b/>
                <w:bCs/>
                <w:color w:val="000000"/>
              </w:rPr>
            </w:pPr>
            <w:r w:rsidRPr="00246F01">
              <w:rPr>
                <w:rFonts w:ascii="Calibri" w:hAnsi="Calibri" w:cs="Calibri"/>
                <w:b/>
                <w:bCs/>
                <w:color w:val="000000"/>
              </w:rPr>
              <w:t>Full-time</w:t>
            </w:r>
          </w:p>
        </w:tc>
        <w:tc>
          <w:tcPr>
            <w:tcW w:w="2117" w:type="dxa"/>
            <w:gridSpan w:val="2"/>
            <w:tcBorders>
              <w:top w:val="single" w:sz="12" w:space="0" w:color="auto"/>
              <w:left w:val="nil"/>
              <w:bottom w:val="nil"/>
              <w:right w:val="single" w:sz="12" w:space="0" w:color="auto"/>
            </w:tcBorders>
            <w:shd w:val="clear" w:color="D9E1F2" w:fill="D9E1F2"/>
            <w:noWrap/>
            <w:vAlign w:val="bottom"/>
            <w:hideMark/>
          </w:tcPr>
          <w:p w14:paraId="4B16631D" w14:textId="41769424" w:rsidR="00DC32D0" w:rsidRPr="00246F01" w:rsidRDefault="00DC32D0">
            <w:pPr>
              <w:jc w:val="center"/>
              <w:rPr>
                <w:rFonts w:ascii="Calibri" w:hAnsi="Calibri" w:cs="Calibri"/>
                <w:b/>
                <w:bCs/>
                <w:color w:val="000000"/>
              </w:rPr>
            </w:pPr>
            <w:r w:rsidRPr="00246F01">
              <w:rPr>
                <w:rFonts w:ascii="Calibri" w:hAnsi="Calibri" w:cs="Calibri"/>
                <w:b/>
                <w:bCs/>
                <w:color w:val="000000"/>
              </w:rPr>
              <w:t>Part-time</w:t>
            </w:r>
          </w:p>
        </w:tc>
      </w:tr>
      <w:tr w:rsidR="00DC32D0" w:rsidRPr="00246F01" w14:paraId="74183B65" w14:textId="77777777" w:rsidTr="002F0800">
        <w:trPr>
          <w:trHeight w:val="300"/>
        </w:trPr>
        <w:tc>
          <w:tcPr>
            <w:tcW w:w="2127" w:type="dxa"/>
            <w:vMerge/>
            <w:tcBorders>
              <w:left w:val="single" w:sz="12" w:space="0" w:color="auto"/>
              <w:bottom w:val="single" w:sz="4" w:space="0" w:color="8EA9DB"/>
              <w:right w:val="nil"/>
            </w:tcBorders>
            <w:shd w:val="clear" w:color="D9E1F2" w:fill="D9E1F2"/>
            <w:noWrap/>
            <w:vAlign w:val="bottom"/>
            <w:hideMark/>
          </w:tcPr>
          <w:p w14:paraId="5967F767" w14:textId="3EB63AFB" w:rsidR="00DC32D0" w:rsidRPr="00246F01" w:rsidRDefault="00DC32D0">
            <w:pPr>
              <w:rPr>
                <w:rFonts w:ascii="Calibri" w:hAnsi="Calibri" w:cs="Calibri"/>
                <w:b/>
                <w:bCs/>
                <w:color w:val="000000"/>
              </w:rPr>
            </w:pPr>
          </w:p>
        </w:tc>
        <w:tc>
          <w:tcPr>
            <w:tcW w:w="1060" w:type="dxa"/>
            <w:tcBorders>
              <w:top w:val="nil"/>
              <w:left w:val="nil"/>
              <w:bottom w:val="single" w:sz="4" w:space="0" w:color="8EA9DB"/>
              <w:right w:val="nil"/>
            </w:tcBorders>
            <w:shd w:val="clear" w:color="D9E1F2" w:fill="D9E1F2"/>
            <w:noWrap/>
            <w:vAlign w:val="bottom"/>
            <w:hideMark/>
          </w:tcPr>
          <w:p w14:paraId="048B1C63" w14:textId="77777777" w:rsidR="00DC32D0" w:rsidRPr="00246F01" w:rsidRDefault="00DC32D0">
            <w:pPr>
              <w:jc w:val="center"/>
              <w:rPr>
                <w:rFonts w:ascii="Calibri" w:hAnsi="Calibri" w:cs="Calibri"/>
                <w:b/>
                <w:bCs/>
                <w:color w:val="000000"/>
              </w:rPr>
            </w:pPr>
            <w:r w:rsidRPr="00246F01">
              <w:rPr>
                <w:rFonts w:ascii="Calibri" w:hAnsi="Calibri" w:cs="Calibri"/>
                <w:b/>
                <w:bCs/>
                <w:color w:val="000000"/>
              </w:rPr>
              <w:t>N</w:t>
            </w:r>
          </w:p>
        </w:tc>
        <w:tc>
          <w:tcPr>
            <w:tcW w:w="1060" w:type="dxa"/>
            <w:tcBorders>
              <w:top w:val="nil"/>
              <w:left w:val="nil"/>
              <w:bottom w:val="single" w:sz="4" w:space="0" w:color="8EA9DB"/>
              <w:right w:val="nil"/>
            </w:tcBorders>
            <w:shd w:val="clear" w:color="D9E1F2" w:fill="D9E1F2"/>
            <w:noWrap/>
            <w:vAlign w:val="bottom"/>
            <w:hideMark/>
          </w:tcPr>
          <w:p w14:paraId="67CCC001" w14:textId="77777777" w:rsidR="00DC32D0" w:rsidRPr="00246F01" w:rsidRDefault="00DC32D0">
            <w:pPr>
              <w:jc w:val="center"/>
              <w:rPr>
                <w:rFonts w:ascii="Calibri" w:hAnsi="Calibri" w:cs="Calibri"/>
                <w:b/>
                <w:bCs/>
                <w:color w:val="000000"/>
              </w:rPr>
            </w:pPr>
            <w:r w:rsidRPr="00246F01">
              <w:rPr>
                <w:rFonts w:ascii="Calibri" w:hAnsi="Calibri" w:cs="Calibri"/>
                <w:b/>
                <w:bCs/>
                <w:color w:val="000000"/>
              </w:rPr>
              <w:t>%</w:t>
            </w:r>
          </w:p>
        </w:tc>
        <w:tc>
          <w:tcPr>
            <w:tcW w:w="1060" w:type="dxa"/>
            <w:tcBorders>
              <w:top w:val="nil"/>
              <w:left w:val="nil"/>
              <w:bottom w:val="single" w:sz="4" w:space="0" w:color="8EA9DB"/>
              <w:right w:val="nil"/>
            </w:tcBorders>
            <w:shd w:val="clear" w:color="D9E1F2" w:fill="D9E1F2"/>
            <w:noWrap/>
            <w:vAlign w:val="bottom"/>
            <w:hideMark/>
          </w:tcPr>
          <w:p w14:paraId="34EECF7D" w14:textId="77777777" w:rsidR="00DC32D0" w:rsidRPr="00246F01" w:rsidRDefault="00DC32D0">
            <w:pPr>
              <w:jc w:val="center"/>
              <w:rPr>
                <w:rFonts w:ascii="Calibri" w:hAnsi="Calibri" w:cs="Calibri"/>
                <w:b/>
                <w:bCs/>
                <w:color w:val="000000"/>
              </w:rPr>
            </w:pPr>
            <w:r w:rsidRPr="00246F01">
              <w:rPr>
                <w:rFonts w:ascii="Calibri" w:hAnsi="Calibri" w:cs="Calibri"/>
                <w:b/>
                <w:bCs/>
                <w:color w:val="000000"/>
              </w:rPr>
              <w:t>N</w:t>
            </w:r>
          </w:p>
        </w:tc>
        <w:tc>
          <w:tcPr>
            <w:tcW w:w="1057" w:type="dxa"/>
            <w:tcBorders>
              <w:top w:val="nil"/>
              <w:left w:val="nil"/>
              <w:bottom w:val="single" w:sz="4" w:space="0" w:color="8EA9DB"/>
              <w:right w:val="single" w:sz="12" w:space="0" w:color="auto"/>
            </w:tcBorders>
            <w:shd w:val="clear" w:color="D9E1F2" w:fill="D9E1F2"/>
            <w:noWrap/>
            <w:vAlign w:val="bottom"/>
            <w:hideMark/>
          </w:tcPr>
          <w:p w14:paraId="489AC22E" w14:textId="77777777" w:rsidR="00DC32D0" w:rsidRPr="00246F01" w:rsidRDefault="00DC32D0">
            <w:pPr>
              <w:jc w:val="center"/>
              <w:rPr>
                <w:rFonts w:ascii="Calibri" w:hAnsi="Calibri" w:cs="Calibri"/>
                <w:b/>
                <w:bCs/>
                <w:color w:val="000000"/>
              </w:rPr>
            </w:pPr>
            <w:r w:rsidRPr="00246F01">
              <w:rPr>
                <w:rFonts w:ascii="Calibri" w:hAnsi="Calibri" w:cs="Calibri"/>
                <w:b/>
                <w:bCs/>
                <w:color w:val="000000"/>
              </w:rPr>
              <w:t>%</w:t>
            </w:r>
          </w:p>
        </w:tc>
      </w:tr>
      <w:tr w:rsidR="00DC32D0" w:rsidRPr="00246F01" w14:paraId="3278A3E3" w14:textId="77777777" w:rsidTr="002F0800">
        <w:trPr>
          <w:trHeight w:val="300"/>
        </w:trPr>
        <w:tc>
          <w:tcPr>
            <w:tcW w:w="2127" w:type="dxa"/>
            <w:tcBorders>
              <w:top w:val="nil"/>
              <w:left w:val="single" w:sz="12" w:space="0" w:color="auto"/>
              <w:bottom w:val="nil"/>
              <w:right w:val="nil"/>
            </w:tcBorders>
            <w:shd w:val="clear" w:color="auto" w:fill="auto"/>
            <w:noWrap/>
            <w:vAlign w:val="bottom"/>
            <w:hideMark/>
          </w:tcPr>
          <w:p w14:paraId="60AB85FA" w14:textId="77777777" w:rsidR="00DC32D0" w:rsidRPr="00246F01" w:rsidRDefault="00DC32D0">
            <w:pPr>
              <w:rPr>
                <w:rFonts w:ascii="Calibri" w:hAnsi="Calibri" w:cs="Calibri"/>
                <w:color w:val="000000"/>
              </w:rPr>
            </w:pPr>
            <w:r w:rsidRPr="00246F01">
              <w:rPr>
                <w:rFonts w:ascii="Calibri" w:hAnsi="Calibri" w:cs="Calibri"/>
                <w:color w:val="000000"/>
              </w:rPr>
              <w:t>Male</w:t>
            </w:r>
          </w:p>
        </w:tc>
        <w:tc>
          <w:tcPr>
            <w:tcW w:w="1060" w:type="dxa"/>
            <w:tcBorders>
              <w:top w:val="nil"/>
              <w:left w:val="nil"/>
              <w:bottom w:val="nil"/>
              <w:right w:val="nil"/>
            </w:tcBorders>
            <w:shd w:val="clear" w:color="auto" w:fill="auto"/>
            <w:noWrap/>
            <w:vAlign w:val="bottom"/>
            <w:hideMark/>
          </w:tcPr>
          <w:p w14:paraId="2F3FC46D" w14:textId="77777777" w:rsidR="00DC32D0" w:rsidRPr="00246F01" w:rsidRDefault="00DC32D0">
            <w:pPr>
              <w:jc w:val="center"/>
              <w:rPr>
                <w:rFonts w:ascii="Calibri" w:hAnsi="Calibri" w:cs="Calibri"/>
                <w:color w:val="000000"/>
              </w:rPr>
            </w:pPr>
            <w:r w:rsidRPr="00246F01">
              <w:rPr>
                <w:rFonts w:ascii="Calibri" w:hAnsi="Calibri" w:cs="Calibri"/>
                <w:color w:val="000000"/>
              </w:rPr>
              <w:t>544</w:t>
            </w:r>
          </w:p>
        </w:tc>
        <w:tc>
          <w:tcPr>
            <w:tcW w:w="1060" w:type="dxa"/>
            <w:tcBorders>
              <w:top w:val="nil"/>
              <w:left w:val="nil"/>
              <w:bottom w:val="nil"/>
              <w:right w:val="nil"/>
            </w:tcBorders>
            <w:shd w:val="clear" w:color="auto" w:fill="auto"/>
            <w:noWrap/>
            <w:vAlign w:val="bottom"/>
            <w:hideMark/>
          </w:tcPr>
          <w:p w14:paraId="3C5F660F" w14:textId="0FE1176C" w:rsidR="00DC32D0" w:rsidRPr="00246F01" w:rsidRDefault="00DC32D0">
            <w:pPr>
              <w:jc w:val="center"/>
              <w:rPr>
                <w:rFonts w:ascii="Calibri" w:hAnsi="Calibri" w:cs="Calibri"/>
                <w:color w:val="000000"/>
              </w:rPr>
            </w:pPr>
            <w:r w:rsidRPr="00246F01">
              <w:rPr>
                <w:rFonts w:ascii="Calibri" w:hAnsi="Calibri" w:cs="Calibri"/>
                <w:color w:val="000000"/>
              </w:rPr>
              <w:t>92.</w:t>
            </w:r>
            <w:r w:rsidR="00246F01">
              <w:rPr>
                <w:rFonts w:ascii="Calibri" w:hAnsi="Calibri" w:cs="Calibri"/>
                <w:color w:val="000000"/>
              </w:rPr>
              <w:t>1</w:t>
            </w:r>
            <w:r w:rsidRPr="00246F01">
              <w:rPr>
                <w:rFonts w:ascii="Calibri" w:hAnsi="Calibri" w:cs="Calibri"/>
                <w:color w:val="000000"/>
              </w:rPr>
              <w:t>%</w:t>
            </w:r>
          </w:p>
        </w:tc>
        <w:tc>
          <w:tcPr>
            <w:tcW w:w="1060" w:type="dxa"/>
            <w:tcBorders>
              <w:top w:val="nil"/>
              <w:left w:val="nil"/>
              <w:bottom w:val="nil"/>
              <w:right w:val="nil"/>
            </w:tcBorders>
            <w:shd w:val="clear" w:color="auto" w:fill="auto"/>
            <w:noWrap/>
            <w:vAlign w:val="bottom"/>
            <w:hideMark/>
          </w:tcPr>
          <w:p w14:paraId="32DB2CD6" w14:textId="77777777" w:rsidR="00DC32D0" w:rsidRPr="00246F01" w:rsidRDefault="00DC32D0">
            <w:pPr>
              <w:jc w:val="center"/>
              <w:rPr>
                <w:rFonts w:ascii="Calibri" w:hAnsi="Calibri" w:cs="Calibri"/>
                <w:color w:val="000000"/>
              </w:rPr>
            </w:pPr>
            <w:r w:rsidRPr="00246F01">
              <w:rPr>
                <w:rFonts w:ascii="Calibri" w:hAnsi="Calibri" w:cs="Calibri"/>
                <w:color w:val="000000"/>
              </w:rPr>
              <w:t>47</w:t>
            </w:r>
          </w:p>
        </w:tc>
        <w:tc>
          <w:tcPr>
            <w:tcW w:w="1057" w:type="dxa"/>
            <w:tcBorders>
              <w:top w:val="nil"/>
              <w:left w:val="nil"/>
              <w:bottom w:val="nil"/>
              <w:right w:val="single" w:sz="12" w:space="0" w:color="auto"/>
            </w:tcBorders>
            <w:shd w:val="clear" w:color="auto" w:fill="auto"/>
            <w:noWrap/>
            <w:vAlign w:val="bottom"/>
            <w:hideMark/>
          </w:tcPr>
          <w:p w14:paraId="1D53C9FD" w14:textId="324BF530" w:rsidR="00DC32D0" w:rsidRPr="00246F01" w:rsidRDefault="00DC32D0">
            <w:pPr>
              <w:jc w:val="center"/>
              <w:rPr>
                <w:rFonts w:ascii="Calibri" w:hAnsi="Calibri" w:cs="Calibri"/>
                <w:color w:val="000000"/>
              </w:rPr>
            </w:pPr>
            <w:r w:rsidRPr="00246F01">
              <w:rPr>
                <w:rFonts w:ascii="Calibri" w:hAnsi="Calibri" w:cs="Calibri"/>
                <w:color w:val="000000"/>
              </w:rPr>
              <w:t>7.9%</w:t>
            </w:r>
          </w:p>
        </w:tc>
      </w:tr>
      <w:tr w:rsidR="00DC32D0" w:rsidRPr="00246F01" w14:paraId="7C995700" w14:textId="77777777" w:rsidTr="002F0800">
        <w:trPr>
          <w:trHeight w:val="300"/>
        </w:trPr>
        <w:tc>
          <w:tcPr>
            <w:tcW w:w="2127" w:type="dxa"/>
            <w:tcBorders>
              <w:top w:val="nil"/>
              <w:left w:val="single" w:sz="12" w:space="0" w:color="auto"/>
              <w:bottom w:val="nil"/>
              <w:right w:val="nil"/>
            </w:tcBorders>
            <w:shd w:val="clear" w:color="auto" w:fill="auto"/>
            <w:noWrap/>
            <w:vAlign w:val="bottom"/>
            <w:hideMark/>
          </w:tcPr>
          <w:p w14:paraId="5933FF0D" w14:textId="77777777" w:rsidR="00DC32D0" w:rsidRPr="00246F01" w:rsidRDefault="00DC32D0">
            <w:pPr>
              <w:rPr>
                <w:rFonts w:ascii="Calibri" w:hAnsi="Calibri" w:cs="Calibri"/>
                <w:color w:val="000000"/>
              </w:rPr>
            </w:pPr>
            <w:r w:rsidRPr="00246F01">
              <w:rPr>
                <w:rFonts w:ascii="Calibri" w:hAnsi="Calibri" w:cs="Calibri"/>
                <w:color w:val="000000"/>
              </w:rPr>
              <w:t>Female</w:t>
            </w:r>
          </w:p>
        </w:tc>
        <w:tc>
          <w:tcPr>
            <w:tcW w:w="1060" w:type="dxa"/>
            <w:tcBorders>
              <w:top w:val="nil"/>
              <w:left w:val="nil"/>
              <w:bottom w:val="nil"/>
              <w:right w:val="nil"/>
            </w:tcBorders>
            <w:shd w:val="clear" w:color="auto" w:fill="auto"/>
            <w:noWrap/>
            <w:vAlign w:val="bottom"/>
            <w:hideMark/>
          </w:tcPr>
          <w:p w14:paraId="3ACC696B" w14:textId="77777777" w:rsidR="00DC32D0" w:rsidRPr="00246F01" w:rsidRDefault="00DC32D0">
            <w:pPr>
              <w:jc w:val="center"/>
              <w:rPr>
                <w:rFonts w:ascii="Calibri" w:hAnsi="Calibri" w:cs="Calibri"/>
                <w:color w:val="000000"/>
              </w:rPr>
            </w:pPr>
            <w:r w:rsidRPr="00246F01">
              <w:rPr>
                <w:rFonts w:ascii="Calibri" w:hAnsi="Calibri" w:cs="Calibri"/>
                <w:color w:val="000000"/>
              </w:rPr>
              <w:t>718</w:t>
            </w:r>
          </w:p>
        </w:tc>
        <w:tc>
          <w:tcPr>
            <w:tcW w:w="1060" w:type="dxa"/>
            <w:tcBorders>
              <w:top w:val="nil"/>
              <w:left w:val="nil"/>
              <w:bottom w:val="nil"/>
              <w:right w:val="nil"/>
            </w:tcBorders>
            <w:shd w:val="clear" w:color="auto" w:fill="auto"/>
            <w:noWrap/>
            <w:vAlign w:val="bottom"/>
            <w:hideMark/>
          </w:tcPr>
          <w:p w14:paraId="4EF50397" w14:textId="6B6C3C23" w:rsidR="00DC32D0" w:rsidRPr="00246F01" w:rsidRDefault="00DC32D0">
            <w:pPr>
              <w:jc w:val="center"/>
              <w:rPr>
                <w:rFonts w:ascii="Calibri" w:hAnsi="Calibri" w:cs="Calibri"/>
                <w:color w:val="000000"/>
              </w:rPr>
            </w:pPr>
            <w:r w:rsidRPr="00246F01">
              <w:rPr>
                <w:rFonts w:ascii="Calibri" w:hAnsi="Calibri" w:cs="Calibri"/>
                <w:color w:val="000000"/>
              </w:rPr>
              <w:t>69.</w:t>
            </w:r>
            <w:r w:rsidR="00524E05">
              <w:rPr>
                <w:rFonts w:ascii="Calibri" w:hAnsi="Calibri" w:cs="Calibri"/>
                <w:color w:val="000000"/>
              </w:rPr>
              <w:t>6</w:t>
            </w:r>
            <w:r w:rsidRPr="00246F01">
              <w:rPr>
                <w:rFonts w:ascii="Calibri" w:hAnsi="Calibri" w:cs="Calibri"/>
                <w:color w:val="000000"/>
              </w:rPr>
              <w:t>%</w:t>
            </w:r>
          </w:p>
        </w:tc>
        <w:tc>
          <w:tcPr>
            <w:tcW w:w="1060" w:type="dxa"/>
            <w:tcBorders>
              <w:top w:val="nil"/>
              <w:left w:val="nil"/>
              <w:bottom w:val="nil"/>
              <w:right w:val="nil"/>
            </w:tcBorders>
            <w:shd w:val="clear" w:color="auto" w:fill="auto"/>
            <w:noWrap/>
            <w:vAlign w:val="bottom"/>
            <w:hideMark/>
          </w:tcPr>
          <w:p w14:paraId="289789E7" w14:textId="77777777" w:rsidR="00DC32D0" w:rsidRPr="00246F01" w:rsidRDefault="00DC32D0">
            <w:pPr>
              <w:jc w:val="center"/>
              <w:rPr>
                <w:rFonts w:ascii="Calibri" w:hAnsi="Calibri" w:cs="Calibri"/>
                <w:color w:val="000000"/>
              </w:rPr>
            </w:pPr>
            <w:r w:rsidRPr="00246F01">
              <w:rPr>
                <w:rFonts w:ascii="Calibri" w:hAnsi="Calibri" w:cs="Calibri"/>
                <w:color w:val="000000"/>
              </w:rPr>
              <w:t>314</w:t>
            </w:r>
          </w:p>
        </w:tc>
        <w:tc>
          <w:tcPr>
            <w:tcW w:w="1057" w:type="dxa"/>
            <w:tcBorders>
              <w:top w:val="nil"/>
              <w:left w:val="nil"/>
              <w:bottom w:val="nil"/>
              <w:right w:val="single" w:sz="12" w:space="0" w:color="auto"/>
            </w:tcBorders>
            <w:shd w:val="clear" w:color="auto" w:fill="auto"/>
            <w:noWrap/>
            <w:vAlign w:val="bottom"/>
            <w:hideMark/>
          </w:tcPr>
          <w:p w14:paraId="589238C9" w14:textId="270A10A0" w:rsidR="00DC32D0" w:rsidRPr="00246F01" w:rsidRDefault="00DC32D0">
            <w:pPr>
              <w:jc w:val="center"/>
              <w:rPr>
                <w:rFonts w:ascii="Calibri" w:hAnsi="Calibri" w:cs="Calibri"/>
                <w:color w:val="000000"/>
              </w:rPr>
            </w:pPr>
            <w:r w:rsidRPr="00246F01">
              <w:rPr>
                <w:rFonts w:ascii="Calibri" w:hAnsi="Calibri" w:cs="Calibri"/>
                <w:color w:val="000000"/>
              </w:rPr>
              <w:t>30.4%</w:t>
            </w:r>
          </w:p>
        </w:tc>
      </w:tr>
      <w:tr w:rsidR="00DC32D0" w:rsidRPr="00246F01" w14:paraId="27703A66" w14:textId="77777777" w:rsidTr="002F0800">
        <w:trPr>
          <w:trHeight w:val="386"/>
        </w:trPr>
        <w:tc>
          <w:tcPr>
            <w:tcW w:w="2127" w:type="dxa"/>
            <w:tcBorders>
              <w:top w:val="single" w:sz="4" w:space="0" w:color="8EA9DB"/>
              <w:left w:val="single" w:sz="12" w:space="0" w:color="auto"/>
              <w:bottom w:val="single" w:sz="12" w:space="0" w:color="auto"/>
              <w:right w:val="nil"/>
            </w:tcBorders>
            <w:shd w:val="clear" w:color="D9E1F2" w:fill="D9E1F2"/>
            <w:noWrap/>
            <w:vAlign w:val="bottom"/>
            <w:hideMark/>
          </w:tcPr>
          <w:p w14:paraId="21AB8EFE" w14:textId="77777777" w:rsidR="00DC32D0" w:rsidRPr="00246F01" w:rsidRDefault="00DC32D0">
            <w:pPr>
              <w:rPr>
                <w:rFonts w:ascii="Calibri" w:hAnsi="Calibri" w:cs="Calibri"/>
                <w:b/>
                <w:bCs/>
                <w:color w:val="000000"/>
              </w:rPr>
            </w:pPr>
            <w:r w:rsidRPr="00246F01">
              <w:rPr>
                <w:rFonts w:ascii="Calibri" w:hAnsi="Calibri" w:cs="Calibri"/>
                <w:b/>
                <w:bCs/>
                <w:color w:val="000000"/>
              </w:rPr>
              <w:t>Grand Total</w:t>
            </w:r>
          </w:p>
        </w:tc>
        <w:tc>
          <w:tcPr>
            <w:tcW w:w="1060" w:type="dxa"/>
            <w:tcBorders>
              <w:top w:val="single" w:sz="4" w:space="0" w:color="8EA9DB"/>
              <w:left w:val="nil"/>
              <w:bottom w:val="single" w:sz="12" w:space="0" w:color="auto"/>
              <w:right w:val="nil"/>
            </w:tcBorders>
            <w:shd w:val="clear" w:color="D9E1F2" w:fill="D9E1F2"/>
            <w:noWrap/>
            <w:vAlign w:val="bottom"/>
            <w:hideMark/>
          </w:tcPr>
          <w:p w14:paraId="4D9960A4" w14:textId="77777777" w:rsidR="00DC32D0" w:rsidRPr="00246F01" w:rsidRDefault="00DC32D0">
            <w:pPr>
              <w:jc w:val="center"/>
              <w:rPr>
                <w:rFonts w:ascii="Calibri" w:hAnsi="Calibri" w:cs="Calibri"/>
                <w:b/>
                <w:bCs/>
                <w:color w:val="000000"/>
              </w:rPr>
            </w:pPr>
            <w:r w:rsidRPr="00246F01">
              <w:rPr>
                <w:rFonts w:ascii="Calibri" w:hAnsi="Calibri" w:cs="Calibri"/>
                <w:b/>
                <w:bCs/>
                <w:color w:val="000000"/>
              </w:rPr>
              <w:t>1262</w:t>
            </w:r>
          </w:p>
        </w:tc>
        <w:tc>
          <w:tcPr>
            <w:tcW w:w="1060" w:type="dxa"/>
            <w:tcBorders>
              <w:top w:val="single" w:sz="4" w:space="0" w:color="8EA9DB"/>
              <w:left w:val="nil"/>
              <w:bottom w:val="single" w:sz="12" w:space="0" w:color="auto"/>
              <w:right w:val="nil"/>
            </w:tcBorders>
            <w:shd w:val="clear" w:color="D9E1F2" w:fill="D9E1F2"/>
            <w:noWrap/>
            <w:vAlign w:val="bottom"/>
            <w:hideMark/>
          </w:tcPr>
          <w:p w14:paraId="101D6087" w14:textId="24C61CC0" w:rsidR="00DC32D0" w:rsidRPr="00246F01" w:rsidRDefault="00DC32D0">
            <w:pPr>
              <w:jc w:val="center"/>
              <w:rPr>
                <w:rFonts w:ascii="Calibri" w:hAnsi="Calibri" w:cs="Calibri"/>
                <w:b/>
                <w:bCs/>
                <w:color w:val="000000"/>
              </w:rPr>
            </w:pPr>
            <w:r w:rsidRPr="00246F01">
              <w:rPr>
                <w:rFonts w:ascii="Calibri" w:hAnsi="Calibri" w:cs="Calibri"/>
                <w:b/>
                <w:bCs/>
                <w:color w:val="000000"/>
              </w:rPr>
              <w:t>77.</w:t>
            </w:r>
            <w:r w:rsidR="00524E05">
              <w:rPr>
                <w:rFonts w:ascii="Calibri" w:hAnsi="Calibri" w:cs="Calibri"/>
                <w:b/>
                <w:bCs/>
                <w:color w:val="000000"/>
              </w:rPr>
              <w:t>8</w:t>
            </w:r>
            <w:r w:rsidRPr="00246F01">
              <w:rPr>
                <w:rFonts w:ascii="Calibri" w:hAnsi="Calibri" w:cs="Calibri"/>
                <w:b/>
                <w:bCs/>
                <w:color w:val="000000"/>
              </w:rPr>
              <w:t>%</w:t>
            </w:r>
          </w:p>
        </w:tc>
        <w:tc>
          <w:tcPr>
            <w:tcW w:w="1060" w:type="dxa"/>
            <w:tcBorders>
              <w:top w:val="single" w:sz="4" w:space="0" w:color="8EA9DB"/>
              <w:left w:val="nil"/>
              <w:bottom w:val="single" w:sz="12" w:space="0" w:color="auto"/>
              <w:right w:val="nil"/>
            </w:tcBorders>
            <w:shd w:val="clear" w:color="D9E1F2" w:fill="D9E1F2"/>
            <w:noWrap/>
            <w:vAlign w:val="bottom"/>
            <w:hideMark/>
          </w:tcPr>
          <w:p w14:paraId="520CD290" w14:textId="77777777" w:rsidR="00DC32D0" w:rsidRPr="00246F01" w:rsidRDefault="00DC32D0">
            <w:pPr>
              <w:jc w:val="center"/>
              <w:rPr>
                <w:rFonts w:ascii="Calibri" w:hAnsi="Calibri" w:cs="Calibri"/>
                <w:b/>
                <w:bCs/>
                <w:color w:val="000000"/>
              </w:rPr>
            </w:pPr>
            <w:r w:rsidRPr="00246F01">
              <w:rPr>
                <w:rFonts w:ascii="Calibri" w:hAnsi="Calibri" w:cs="Calibri"/>
                <w:b/>
                <w:bCs/>
                <w:color w:val="000000"/>
              </w:rPr>
              <w:t>361</w:t>
            </w:r>
          </w:p>
        </w:tc>
        <w:tc>
          <w:tcPr>
            <w:tcW w:w="1057" w:type="dxa"/>
            <w:tcBorders>
              <w:top w:val="single" w:sz="4" w:space="0" w:color="8EA9DB"/>
              <w:left w:val="nil"/>
              <w:bottom w:val="single" w:sz="12" w:space="0" w:color="auto"/>
              <w:right w:val="single" w:sz="12" w:space="0" w:color="auto"/>
            </w:tcBorders>
            <w:shd w:val="clear" w:color="D9E1F2" w:fill="D9E1F2"/>
            <w:noWrap/>
            <w:vAlign w:val="bottom"/>
            <w:hideMark/>
          </w:tcPr>
          <w:p w14:paraId="50F6CF01" w14:textId="306B0C63" w:rsidR="00DC32D0" w:rsidRPr="00246F01" w:rsidRDefault="00DC32D0" w:rsidP="002F0800">
            <w:pPr>
              <w:jc w:val="center"/>
              <w:rPr>
                <w:rFonts w:ascii="Calibri" w:hAnsi="Calibri" w:cs="Calibri"/>
                <w:b/>
                <w:bCs/>
                <w:color w:val="000000"/>
              </w:rPr>
            </w:pPr>
            <w:r w:rsidRPr="00246F01">
              <w:rPr>
                <w:rFonts w:ascii="Calibri" w:hAnsi="Calibri" w:cs="Calibri"/>
                <w:b/>
                <w:bCs/>
                <w:color w:val="000000"/>
              </w:rPr>
              <w:t>22.2%</w:t>
            </w:r>
          </w:p>
        </w:tc>
      </w:tr>
    </w:tbl>
    <w:p w14:paraId="68E9C26A" w14:textId="179CFFD8" w:rsidR="00E10F2B" w:rsidRDefault="00E10F2B" w:rsidP="00AF0A00">
      <w:pPr>
        <w:autoSpaceDE w:val="0"/>
        <w:autoSpaceDN w:val="0"/>
        <w:adjustRightInd w:val="0"/>
        <w:spacing w:line="360" w:lineRule="auto"/>
        <w:rPr>
          <w:rFonts w:ascii="Arial" w:hAnsi="Arial" w:cs="Arial"/>
          <w:color w:val="000000"/>
        </w:rPr>
      </w:pPr>
    </w:p>
    <w:p w14:paraId="7D0FD22A" w14:textId="77777777" w:rsidR="002F212C" w:rsidRDefault="002F212C" w:rsidP="00AF0A00">
      <w:pPr>
        <w:autoSpaceDE w:val="0"/>
        <w:autoSpaceDN w:val="0"/>
        <w:adjustRightInd w:val="0"/>
        <w:spacing w:line="360" w:lineRule="auto"/>
        <w:rPr>
          <w:rFonts w:ascii="Arial" w:hAnsi="Arial" w:cs="Arial"/>
          <w:color w:val="000000"/>
        </w:rPr>
      </w:pPr>
    </w:p>
    <w:p w14:paraId="277FD919" w14:textId="53863562" w:rsidR="00382968" w:rsidRDefault="00FC7FC2" w:rsidP="00AF0A00">
      <w:pPr>
        <w:autoSpaceDE w:val="0"/>
        <w:autoSpaceDN w:val="0"/>
        <w:adjustRightInd w:val="0"/>
        <w:spacing w:line="360" w:lineRule="auto"/>
        <w:rPr>
          <w:rFonts w:ascii="Arial" w:hAnsi="Arial" w:cs="Arial"/>
          <w:color w:val="000000"/>
        </w:rPr>
      </w:pPr>
      <w:r>
        <w:rPr>
          <w:rFonts w:ascii="Arial" w:hAnsi="Arial" w:cs="Arial"/>
          <w:color w:val="000000"/>
        </w:rPr>
        <w:t xml:space="preserve">Currently, </w:t>
      </w:r>
      <w:r w:rsidR="00AA44E3">
        <w:rPr>
          <w:rFonts w:ascii="Arial" w:hAnsi="Arial" w:cs="Arial"/>
          <w:color w:val="000000"/>
        </w:rPr>
        <w:t>22.2</w:t>
      </w:r>
      <w:r>
        <w:rPr>
          <w:rFonts w:ascii="Arial" w:hAnsi="Arial" w:cs="Arial"/>
          <w:color w:val="000000"/>
        </w:rPr>
        <w:t xml:space="preserve">% of </w:t>
      </w:r>
      <w:r w:rsidR="00AA44E3">
        <w:rPr>
          <w:rFonts w:ascii="Arial" w:hAnsi="Arial" w:cs="Arial"/>
          <w:color w:val="000000"/>
        </w:rPr>
        <w:t>trainee</w:t>
      </w:r>
      <w:r>
        <w:rPr>
          <w:rFonts w:ascii="Arial" w:hAnsi="Arial" w:cs="Arial"/>
          <w:color w:val="000000"/>
        </w:rPr>
        <w:t xml:space="preserve">s are in less than full time </w:t>
      </w:r>
      <w:r w:rsidR="00664D7E">
        <w:rPr>
          <w:rFonts w:ascii="Arial" w:hAnsi="Arial" w:cs="Arial"/>
          <w:color w:val="000000"/>
        </w:rPr>
        <w:t>training</w:t>
      </w:r>
      <w:r>
        <w:rPr>
          <w:rFonts w:ascii="Arial" w:hAnsi="Arial" w:cs="Arial"/>
          <w:color w:val="000000"/>
        </w:rPr>
        <w:t>. The vast majority</w:t>
      </w:r>
      <w:r w:rsidR="00664D7E">
        <w:rPr>
          <w:rFonts w:ascii="Arial" w:hAnsi="Arial" w:cs="Arial"/>
          <w:color w:val="000000"/>
        </w:rPr>
        <w:t xml:space="preserve"> training less than full time are women, with nearly </w:t>
      </w:r>
      <w:r w:rsidR="00AA44E3">
        <w:rPr>
          <w:rFonts w:ascii="Arial" w:hAnsi="Arial" w:cs="Arial"/>
          <w:color w:val="000000"/>
        </w:rPr>
        <w:t>one third</w:t>
      </w:r>
      <w:r w:rsidR="00664D7E">
        <w:rPr>
          <w:rFonts w:ascii="Arial" w:hAnsi="Arial" w:cs="Arial"/>
          <w:color w:val="000000"/>
        </w:rPr>
        <w:t xml:space="preserve"> of all female </w:t>
      </w:r>
      <w:r w:rsidR="00AA44E3">
        <w:rPr>
          <w:rFonts w:ascii="Arial" w:hAnsi="Arial" w:cs="Arial"/>
          <w:color w:val="000000"/>
        </w:rPr>
        <w:t xml:space="preserve">trainees </w:t>
      </w:r>
      <w:r w:rsidR="00664D7E">
        <w:rPr>
          <w:rFonts w:ascii="Arial" w:hAnsi="Arial" w:cs="Arial"/>
          <w:color w:val="000000"/>
        </w:rPr>
        <w:t>training on a less than full time basis.</w:t>
      </w:r>
    </w:p>
    <w:p w14:paraId="125FF063" w14:textId="77777777" w:rsidR="00E765ED" w:rsidRDefault="00E765ED" w:rsidP="00AF0A00">
      <w:pPr>
        <w:autoSpaceDE w:val="0"/>
        <w:autoSpaceDN w:val="0"/>
        <w:adjustRightInd w:val="0"/>
        <w:spacing w:line="360" w:lineRule="auto"/>
        <w:rPr>
          <w:rFonts w:ascii="Arial" w:hAnsi="Arial" w:cs="Arial"/>
          <w:color w:val="000000"/>
        </w:rPr>
      </w:pPr>
    </w:p>
    <w:p w14:paraId="277FD927" w14:textId="16AEE52A" w:rsidR="00B11D8C" w:rsidRPr="00483C93" w:rsidRDefault="00483C93" w:rsidP="00AF0A00">
      <w:pPr>
        <w:autoSpaceDE w:val="0"/>
        <w:autoSpaceDN w:val="0"/>
        <w:adjustRightInd w:val="0"/>
        <w:spacing w:line="360" w:lineRule="auto"/>
        <w:rPr>
          <w:rFonts w:ascii="Arial" w:eastAsia="Arial" w:hAnsi="Arial" w:cs="Arial"/>
          <w:b/>
          <w:bCs/>
          <w:color w:val="000000" w:themeColor="text1"/>
          <w:sz w:val="28"/>
        </w:rPr>
      </w:pPr>
      <w:bookmarkStart w:id="0" w:name="_Hlk61192475"/>
      <w:r>
        <w:rPr>
          <w:rFonts w:ascii="Arial" w:eastAsia="Arial" w:hAnsi="Arial" w:cs="Arial"/>
          <w:b/>
          <w:bCs/>
          <w:color w:val="000000" w:themeColor="text1"/>
          <w:sz w:val="28"/>
        </w:rPr>
        <w:t xml:space="preserve">7. </w:t>
      </w:r>
      <w:r w:rsidR="51E9A9B4" w:rsidRPr="00224D98">
        <w:rPr>
          <w:rFonts w:ascii="Arial" w:eastAsia="Arial" w:hAnsi="Arial" w:cs="Arial"/>
          <w:b/>
          <w:bCs/>
          <w:color w:val="000000" w:themeColor="text1"/>
          <w:sz w:val="28"/>
        </w:rPr>
        <w:t>Occupational Segregation by Disability</w:t>
      </w:r>
      <w:bookmarkEnd w:id="0"/>
    </w:p>
    <w:p w14:paraId="277FD928" w14:textId="5ADDA232" w:rsidR="009D4A5D" w:rsidRDefault="51E9A9B4" w:rsidP="00AF0A00">
      <w:pPr>
        <w:autoSpaceDE w:val="0"/>
        <w:autoSpaceDN w:val="0"/>
        <w:adjustRightInd w:val="0"/>
        <w:spacing w:line="360" w:lineRule="auto"/>
        <w:rPr>
          <w:rFonts w:ascii="Arial" w:eastAsia="Arial" w:hAnsi="Arial" w:cs="Arial"/>
          <w:color w:val="000000" w:themeColor="text1"/>
        </w:rPr>
      </w:pPr>
      <w:r w:rsidRPr="00224D98">
        <w:rPr>
          <w:rFonts w:ascii="Arial" w:eastAsia="Arial" w:hAnsi="Arial" w:cs="Arial"/>
          <w:color w:val="000000" w:themeColor="text1"/>
        </w:rPr>
        <w:t xml:space="preserve">Only </w:t>
      </w:r>
      <w:r w:rsidR="004B71E7" w:rsidRPr="00224D98">
        <w:rPr>
          <w:rFonts w:ascii="Arial" w:eastAsia="Arial" w:hAnsi="Arial" w:cs="Arial"/>
          <w:color w:val="000000" w:themeColor="text1"/>
        </w:rPr>
        <w:t>1</w:t>
      </w:r>
      <w:r w:rsidRPr="00224D98">
        <w:rPr>
          <w:rFonts w:ascii="Arial" w:eastAsia="Arial" w:hAnsi="Arial" w:cs="Arial"/>
          <w:color w:val="000000" w:themeColor="text1"/>
        </w:rPr>
        <w:t>.</w:t>
      </w:r>
      <w:r w:rsidR="004B71E7" w:rsidRPr="00224D98">
        <w:rPr>
          <w:rFonts w:ascii="Arial" w:eastAsia="Arial" w:hAnsi="Arial" w:cs="Arial"/>
          <w:color w:val="000000" w:themeColor="text1"/>
        </w:rPr>
        <w:t>8</w:t>
      </w:r>
      <w:r w:rsidRPr="00224D98">
        <w:rPr>
          <w:rFonts w:ascii="Arial" w:eastAsia="Arial" w:hAnsi="Arial" w:cs="Arial"/>
          <w:color w:val="000000" w:themeColor="text1"/>
        </w:rPr>
        <w:t xml:space="preserve">% of NES staff identify as disabled; </w:t>
      </w:r>
      <w:r w:rsidR="009D0DA0" w:rsidRPr="00224D98">
        <w:rPr>
          <w:rFonts w:ascii="Arial" w:eastAsia="Arial" w:hAnsi="Arial" w:cs="Arial"/>
          <w:color w:val="000000" w:themeColor="text1"/>
        </w:rPr>
        <w:t>71.9</w:t>
      </w:r>
      <w:r w:rsidRPr="00224D98">
        <w:rPr>
          <w:rFonts w:ascii="Arial" w:eastAsia="Arial" w:hAnsi="Arial" w:cs="Arial"/>
          <w:color w:val="000000" w:themeColor="text1"/>
        </w:rPr>
        <w:t xml:space="preserve">% identify as not disabled and </w:t>
      </w:r>
      <w:r w:rsidR="009D0DA0" w:rsidRPr="00224D98">
        <w:rPr>
          <w:rFonts w:ascii="Arial" w:eastAsia="Arial" w:hAnsi="Arial" w:cs="Arial"/>
          <w:color w:val="000000" w:themeColor="text1"/>
        </w:rPr>
        <w:t>26</w:t>
      </w:r>
      <w:r w:rsidRPr="00224D98">
        <w:rPr>
          <w:rFonts w:ascii="Arial" w:eastAsia="Arial" w:hAnsi="Arial" w:cs="Arial"/>
          <w:color w:val="000000" w:themeColor="text1"/>
        </w:rPr>
        <w:t>.</w:t>
      </w:r>
      <w:r w:rsidR="00A74743" w:rsidRPr="00224D98">
        <w:rPr>
          <w:rFonts w:ascii="Arial" w:eastAsia="Arial" w:hAnsi="Arial" w:cs="Arial"/>
          <w:color w:val="000000" w:themeColor="text1"/>
        </w:rPr>
        <w:t>8</w:t>
      </w:r>
      <w:r w:rsidRPr="00224D98">
        <w:rPr>
          <w:rFonts w:ascii="Arial" w:eastAsia="Arial" w:hAnsi="Arial" w:cs="Arial"/>
          <w:color w:val="000000" w:themeColor="text1"/>
        </w:rPr>
        <w:t>% declined to respond. With small overall numbers, it is not possible to present data on occupational segregation by disability status in tabular form.</w:t>
      </w:r>
    </w:p>
    <w:p w14:paraId="03A43082" w14:textId="77777777" w:rsidR="008322BD" w:rsidRPr="00224D98" w:rsidRDefault="008322BD" w:rsidP="00AF0A00">
      <w:pPr>
        <w:autoSpaceDE w:val="0"/>
        <w:autoSpaceDN w:val="0"/>
        <w:adjustRightInd w:val="0"/>
        <w:spacing w:line="360" w:lineRule="auto"/>
        <w:rPr>
          <w:rFonts w:ascii="Arial" w:eastAsia="Arial" w:hAnsi="Arial" w:cs="Arial"/>
          <w:color w:val="000000" w:themeColor="text1"/>
        </w:rPr>
      </w:pPr>
    </w:p>
    <w:p w14:paraId="650CAA98" w14:textId="31F96395" w:rsidR="00A52140" w:rsidRPr="00A52140" w:rsidRDefault="00A52140" w:rsidP="00AF0A00">
      <w:pPr>
        <w:autoSpaceDE w:val="0"/>
        <w:autoSpaceDN w:val="0"/>
        <w:adjustRightInd w:val="0"/>
        <w:spacing w:line="360" w:lineRule="auto"/>
        <w:rPr>
          <w:rFonts w:ascii="Arial" w:hAnsi="Arial" w:cs="Arial"/>
          <w:color w:val="000000"/>
        </w:rPr>
      </w:pPr>
      <w:r w:rsidRPr="00A52140">
        <w:rPr>
          <w:rFonts w:ascii="Arial" w:hAnsi="Arial" w:cs="Arial"/>
          <w:color w:val="000000"/>
        </w:rPr>
        <w:t>Table 8: Disability profile</w:t>
      </w:r>
    </w:p>
    <w:tbl>
      <w:tblPr>
        <w:tblW w:w="4982" w:type="dxa"/>
        <w:tblLook w:val="04A0" w:firstRow="1" w:lastRow="0" w:firstColumn="1" w:lastColumn="0" w:noHBand="0" w:noVBand="1"/>
      </w:tblPr>
      <w:tblGrid>
        <w:gridCol w:w="3119"/>
        <w:gridCol w:w="981"/>
        <w:gridCol w:w="882"/>
      </w:tblGrid>
      <w:tr w:rsidR="003F02B6" w14:paraId="78988300" w14:textId="77777777" w:rsidTr="00A52140">
        <w:trPr>
          <w:trHeight w:val="300"/>
        </w:trPr>
        <w:tc>
          <w:tcPr>
            <w:tcW w:w="3119" w:type="dxa"/>
            <w:tcBorders>
              <w:top w:val="nil"/>
              <w:left w:val="nil"/>
              <w:bottom w:val="single" w:sz="4" w:space="0" w:color="8EA9DB"/>
              <w:right w:val="nil"/>
            </w:tcBorders>
            <w:shd w:val="clear" w:color="D9E1F2" w:fill="D9E1F2"/>
            <w:noWrap/>
            <w:vAlign w:val="bottom"/>
            <w:hideMark/>
          </w:tcPr>
          <w:p w14:paraId="6492F572" w14:textId="77777777" w:rsidR="003F02B6" w:rsidRDefault="003F02B6">
            <w:pPr>
              <w:rPr>
                <w:rFonts w:ascii="Calibri" w:hAnsi="Calibri" w:cs="Calibri"/>
                <w:b/>
                <w:bCs/>
                <w:color w:val="000000"/>
                <w:sz w:val="22"/>
                <w:szCs w:val="22"/>
              </w:rPr>
            </w:pPr>
            <w:r>
              <w:rPr>
                <w:rFonts w:ascii="Calibri" w:hAnsi="Calibri" w:cs="Calibri"/>
                <w:b/>
                <w:bCs/>
                <w:color w:val="000000"/>
                <w:sz w:val="22"/>
                <w:szCs w:val="22"/>
              </w:rPr>
              <w:t>Disability</w:t>
            </w:r>
          </w:p>
        </w:tc>
        <w:tc>
          <w:tcPr>
            <w:tcW w:w="981" w:type="dxa"/>
            <w:tcBorders>
              <w:top w:val="nil"/>
              <w:left w:val="nil"/>
              <w:bottom w:val="single" w:sz="4" w:space="0" w:color="8EA9DB"/>
              <w:right w:val="nil"/>
            </w:tcBorders>
            <w:shd w:val="clear" w:color="D9E1F2" w:fill="D9E1F2"/>
            <w:noWrap/>
            <w:vAlign w:val="bottom"/>
            <w:hideMark/>
          </w:tcPr>
          <w:p w14:paraId="74DEF44C" w14:textId="77777777" w:rsidR="003F02B6" w:rsidRDefault="003F02B6">
            <w:pPr>
              <w:jc w:val="center"/>
              <w:rPr>
                <w:rFonts w:ascii="Calibri" w:hAnsi="Calibri" w:cs="Calibri"/>
                <w:b/>
                <w:bCs/>
                <w:color w:val="000000"/>
                <w:sz w:val="22"/>
                <w:szCs w:val="22"/>
              </w:rPr>
            </w:pPr>
            <w:r>
              <w:rPr>
                <w:rFonts w:ascii="Calibri" w:hAnsi="Calibri" w:cs="Calibri"/>
                <w:b/>
                <w:bCs/>
                <w:color w:val="000000"/>
                <w:sz w:val="22"/>
                <w:szCs w:val="22"/>
              </w:rPr>
              <w:t>N</w:t>
            </w:r>
          </w:p>
        </w:tc>
        <w:tc>
          <w:tcPr>
            <w:tcW w:w="882" w:type="dxa"/>
            <w:tcBorders>
              <w:top w:val="nil"/>
              <w:left w:val="nil"/>
              <w:bottom w:val="single" w:sz="4" w:space="0" w:color="8EA9DB"/>
              <w:right w:val="nil"/>
            </w:tcBorders>
            <w:shd w:val="clear" w:color="D9E1F2" w:fill="D9E1F2"/>
            <w:noWrap/>
            <w:vAlign w:val="bottom"/>
            <w:hideMark/>
          </w:tcPr>
          <w:p w14:paraId="284EF84E" w14:textId="77777777" w:rsidR="003F02B6" w:rsidRDefault="003F02B6">
            <w:pPr>
              <w:jc w:val="center"/>
              <w:rPr>
                <w:rFonts w:ascii="Calibri" w:hAnsi="Calibri" w:cs="Calibri"/>
                <w:b/>
                <w:bCs/>
                <w:color w:val="000000"/>
                <w:sz w:val="22"/>
                <w:szCs w:val="22"/>
              </w:rPr>
            </w:pPr>
            <w:r>
              <w:rPr>
                <w:rFonts w:ascii="Calibri" w:hAnsi="Calibri" w:cs="Calibri"/>
                <w:b/>
                <w:bCs/>
                <w:color w:val="000000"/>
                <w:sz w:val="22"/>
                <w:szCs w:val="22"/>
              </w:rPr>
              <w:t>%</w:t>
            </w:r>
          </w:p>
        </w:tc>
      </w:tr>
      <w:tr w:rsidR="003F02B6" w14:paraId="297FAAB8" w14:textId="77777777" w:rsidTr="00A52140">
        <w:trPr>
          <w:trHeight w:val="300"/>
        </w:trPr>
        <w:tc>
          <w:tcPr>
            <w:tcW w:w="3119" w:type="dxa"/>
            <w:tcBorders>
              <w:top w:val="nil"/>
              <w:left w:val="nil"/>
              <w:bottom w:val="nil"/>
              <w:right w:val="nil"/>
            </w:tcBorders>
            <w:shd w:val="clear" w:color="auto" w:fill="auto"/>
            <w:noWrap/>
            <w:vAlign w:val="bottom"/>
            <w:hideMark/>
          </w:tcPr>
          <w:p w14:paraId="0DE69FD3" w14:textId="77777777" w:rsidR="003F02B6" w:rsidRDefault="003F02B6">
            <w:pPr>
              <w:rPr>
                <w:rFonts w:ascii="Calibri" w:hAnsi="Calibri" w:cs="Calibri"/>
                <w:color w:val="000000"/>
                <w:sz w:val="22"/>
                <w:szCs w:val="22"/>
              </w:rPr>
            </w:pPr>
            <w:r>
              <w:rPr>
                <w:rFonts w:ascii="Calibri" w:hAnsi="Calibri" w:cs="Calibri"/>
                <w:color w:val="000000"/>
                <w:sz w:val="22"/>
                <w:szCs w:val="22"/>
              </w:rPr>
              <w:t>No</w:t>
            </w:r>
          </w:p>
        </w:tc>
        <w:tc>
          <w:tcPr>
            <w:tcW w:w="981" w:type="dxa"/>
            <w:tcBorders>
              <w:top w:val="nil"/>
              <w:left w:val="nil"/>
              <w:bottom w:val="nil"/>
              <w:right w:val="nil"/>
            </w:tcBorders>
            <w:shd w:val="clear" w:color="auto" w:fill="auto"/>
            <w:noWrap/>
            <w:vAlign w:val="bottom"/>
            <w:hideMark/>
          </w:tcPr>
          <w:p w14:paraId="638E08D7" w14:textId="77777777" w:rsidR="003F02B6" w:rsidRDefault="003F02B6">
            <w:pPr>
              <w:jc w:val="center"/>
              <w:rPr>
                <w:rFonts w:ascii="Calibri" w:hAnsi="Calibri" w:cs="Calibri"/>
                <w:color w:val="000000"/>
                <w:sz w:val="22"/>
                <w:szCs w:val="22"/>
              </w:rPr>
            </w:pPr>
            <w:r>
              <w:rPr>
                <w:rFonts w:ascii="Calibri" w:hAnsi="Calibri" w:cs="Calibri"/>
                <w:color w:val="000000"/>
                <w:sz w:val="22"/>
                <w:szCs w:val="22"/>
              </w:rPr>
              <w:t>1794</w:t>
            </w:r>
          </w:p>
        </w:tc>
        <w:tc>
          <w:tcPr>
            <w:tcW w:w="882" w:type="dxa"/>
            <w:tcBorders>
              <w:top w:val="nil"/>
              <w:left w:val="nil"/>
              <w:bottom w:val="nil"/>
              <w:right w:val="nil"/>
            </w:tcBorders>
            <w:shd w:val="clear" w:color="auto" w:fill="auto"/>
            <w:noWrap/>
            <w:vAlign w:val="bottom"/>
            <w:hideMark/>
          </w:tcPr>
          <w:p w14:paraId="5AF5F9DE" w14:textId="77777777" w:rsidR="003F02B6" w:rsidRDefault="003F02B6">
            <w:pPr>
              <w:jc w:val="center"/>
              <w:rPr>
                <w:rFonts w:ascii="Calibri" w:hAnsi="Calibri" w:cs="Calibri"/>
                <w:color w:val="000000"/>
                <w:sz w:val="22"/>
                <w:szCs w:val="22"/>
              </w:rPr>
            </w:pPr>
            <w:r>
              <w:rPr>
                <w:rFonts w:ascii="Calibri" w:hAnsi="Calibri" w:cs="Calibri"/>
                <w:color w:val="000000"/>
                <w:sz w:val="22"/>
                <w:szCs w:val="22"/>
              </w:rPr>
              <w:t>72.4%</w:t>
            </w:r>
          </w:p>
        </w:tc>
      </w:tr>
      <w:tr w:rsidR="003F02B6" w14:paraId="42B7CF23" w14:textId="77777777" w:rsidTr="00A52140">
        <w:trPr>
          <w:trHeight w:val="300"/>
        </w:trPr>
        <w:tc>
          <w:tcPr>
            <w:tcW w:w="3119" w:type="dxa"/>
            <w:tcBorders>
              <w:top w:val="nil"/>
              <w:left w:val="nil"/>
              <w:bottom w:val="nil"/>
              <w:right w:val="nil"/>
            </w:tcBorders>
            <w:shd w:val="clear" w:color="auto" w:fill="auto"/>
            <w:noWrap/>
            <w:vAlign w:val="bottom"/>
            <w:hideMark/>
          </w:tcPr>
          <w:p w14:paraId="21C50BFE" w14:textId="77777777" w:rsidR="003F02B6" w:rsidRDefault="003F02B6">
            <w:pPr>
              <w:rPr>
                <w:rFonts w:ascii="Calibri" w:hAnsi="Calibri" w:cs="Calibri"/>
                <w:color w:val="000000"/>
                <w:sz w:val="22"/>
                <w:szCs w:val="22"/>
              </w:rPr>
            </w:pPr>
            <w:r>
              <w:rPr>
                <w:rFonts w:ascii="Calibri" w:hAnsi="Calibri" w:cs="Calibri"/>
                <w:color w:val="000000"/>
                <w:sz w:val="22"/>
                <w:szCs w:val="22"/>
              </w:rPr>
              <w:t>Prefer not to say</w:t>
            </w:r>
          </w:p>
        </w:tc>
        <w:tc>
          <w:tcPr>
            <w:tcW w:w="981" w:type="dxa"/>
            <w:tcBorders>
              <w:top w:val="nil"/>
              <w:left w:val="nil"/>
              <w:bottom w:val="nil"/>
              <w:right w:val="nil"/>
            </w:tcBorders>
            <w:shd w:val="clear" w:color="auto" w:fill="auto"/>
            <w:noWrap/>
            <w:vAlign w:val="bottom"/>
            <w:hideMark/>
          </w:tcPr>
          <w:p w14:paraId="1F69DD20" w14:textId="77777777" w:rsidR="003F02B6" w:rsidRDefault="003F02B6">
            <w:pPr>
              <w:jc w:val="center"/>
              <w:rPr>
                <w:rFonts w:ascii="Calibri" w:hAnsi="Calibri" w:cs="Calibri"/>
                <w:color w:val="000000"/>
                <w:sz w:val="22"/>
                <w:szCs w:val="22"/>
              </w:rPr>
            </w:pPr>
            <w:r>
              <w:rPr>
                <w:rFonts w:ascii="Calibri" w:hAnsi="Calibri" w:cs="Calibri"/>
                <w:color w:val="000000"/>
                <w:sz w:val="22"/>
                <w:szCs w:val="22"/>
              </w:rPr>
              <w:t>598</w:t>
            </w:r>
          </w:p>
        </w:tc>
        <w:tc>
          <w:tcPr>
            <w:tcW w:w="882" w:type="dxa"/>
            <w:tcBorders>
              <w:top w:val="nil"/>
              <w:left w:val="nil"/>
              <w:bottom w:val="nil"/>
              <w:right w:val="nil"/>
            </w:tcBorders>
            <w:shd w:val="clear" w:color="auto" w:fill="auto"/>
            <w:noWrap/>
            <w:vAlign w:val="bottom"/>
            <w:hideMark/>
          </w:tcPr>
          <w:p w14:paraId="3B54E3E6" w14:textId="77777777" w:rsidR="003F02B6" w:rsidRDefault="003F02B6">
            <w:pPr>
              <w:jc w:val="center"/>
              <w:rPr>
                <w:rFonts w:ascii="Calibri" w:hAnsi="Calibri" w:cs="Calibri"/>
                <w:color w:val="000000"/>
                <w:sz w:val="22"/>
                <w:szCs w:val="22"/>
              </w:rPr>
            </w:pPr>
            <w:r>
              <w:rPr>
                <w:rFonts w:ascii="Calibri" w:hAnsi="Calibri" w:cs="Calibri"/>
                <w:color w:val="000000"/>
                <w:sz w:val="22"/>
                <w:szCs w:val="22"/>
              </w:rPr>
              <w:t>25.9%</w:t>
            </w:r>
          </w:p>
        </w:tc>
      </w:tr>
      <w:tr w:rsidR="003F02B6" w14:paraId="15AB435E" w14:textId="77777777" w:rsidTr="00A52140">
        <w:trPr>
          <w:trHeight w:val="300"/>
        </w:trPr>
        <w:tc>
          <w:tcPr>
            <w:tcW w:w="3119" w:type="dxa"/>
            <w:tcBorders>
              <w:top w:val="nil"/>
              <w:left w:val="nil"/>
              <w:bottom w:val="nil"/>
              <w:right w:val="nil"/>
            </w:tcBorders>
            <w:shd w:val="clear" w:color="auto" w:fill="auto"/>
            <w:noWrap/>
            <w:vAlign w:val="bottom"/>
            <w:hideMark/>
          </w:tcPr>
          <w:p w14:paraId="209250BA" w14:textId="77777777" w:rsidR="003F02B6" w:rsidRDefault="003F02B6">
            <w:pPr>
              <w:rPr>
                <w:rFonts w:ascii="Calibri" w:hAnsi="Calibri" w:cs="Calibri"/>
                <w:color w:val="000000"/>
                <w:sz w:val="22"/>
                <w:szCs w:val="22"/>
              </w:rPr>
            </w:pPr>
            <w:r>
              <w:rPr>
                <w:rFonts w:ascii="Calibri" w:hAnsi="Calibri" w:cs="Calibri"/>
                <w:color w:val="000000"/>
                <w:sz w:val="22"/>
                <w:szCs w:val="22"/>
              </w:rPr>
              <w:t>Yes</w:t>
            </w:r>
          </w:p>
        </w:tc>
        <w:tc>
          <w:tcPr>
            <w:tcW w:w="981" w:type="dxa"/>
            <w:tcBorders>
              <w:top w:val="nil"/>
              <w:left w:val="nil"/>
              <w:bottom w:val="nil"/>
              <w:right w:val="nil"/>
            </w:tcBorders>
            <w:shd w:val="clear" w:color="auto" w:fill="auto"/>
            <w:noWrap/>
            <w:vAlign w:val="bottom"/>
            <w:hideMark/>
          </w:tcPr>
          <w:p w14:paraId="282FAF56" w14:textId="77777777" w:rsidR="003F02B6" w:rsidRDefault="003F02B6">
            <w:pPr>
              <w:jc w:val="center"/>
              <w:rPr>
                <w:rFonts w:ascii="Calibri" w:hAnsi="Calibri" w:cs="Calibri"/>
                <w:color w:val="000000"/>
                <w:sz w:val="22"/>
                <w:szCs w:val="22"/>
              </w:rPr>
            </w:pPr>
            <w:r>
              <w:rPr>
                <w:rFonts w:ascii="Calibri" w:hAnsi="Calibri" w:cs="Calibri"/>
                <w:color w:val="000000"/>
                <w:sz w:val="22"/>
                <w:szCs w:val="22"/>
              </w:rPr>
              <w:t>45</w:t>
            </w:r>
          </w:p>
        </w:tc>
        <w:tc>
          <w:tcPr>
            <w:tcW w:w="882" w:type="dxa"/>
            <w:tcBorders>
              <w:top w:val="nil"/>
              <w:left w:val="nil"/>
              <w:bottom w:val="nil"/>
              <w:right w:val="nil"/>
            </w:tcBorders>
            <w:shd w:val="clear" w:color="auto" w:fill="auto"/>
            <w:noWrap/>
            <w:vAlign w:val="bottom"/>
            <w:hideMark/>
          </w:tcPr>
          <w:p w14:paraId="48663FD2" w14:textId="77777777" w:rsidR="003F02B6" w:rsidRDefault="003F02B6">
            <w:pPr>
              <w:jc w:val="center"/>
              <w:rPr>
                <w:rFonts w:ascii="Calibri" w:hAnsi="Calibri" w:cs="Calibri"/>
                <w:color w:val="000000"/>
                <w:sz w:val="22"/>
                <w:szCs w:val="22"/>
              </w:rPr>
            </w:pPr>
            <w:r>
              <w:rPr>
                <w:rFonts w:ascii="Calibri" w:hAnsi="Calibri" w:cs="Calibri"/>
                <w:color w:val="000000"/>
                <w:sz w:val="22"/>
                <w:szCs w:val="22"/>
              </w:rPr>
              <w:t>1.7%</w:t>
            </w:r>
          </w:p>
        </w:tc>
      </w:tr>
      <w:tr w:rsidR="003F02B6" w14:paraId="6B7ACDBF" w14:textId="77777777" w:rsidTr="00A52140">
        <w:trPr>
          <w:trHeight w:val="300"/>
        </w:trPr>
        <w:tc>
          <w:tcPr>
            <w:tcW w:w="3119" w:type="dxa"/>
            <w:tcBorders>
              <w:top w:val="single" w:sz="4" w:space="0" w:color="8EA9DB"/>
              <w:left w:val="nil"/>
              <w:bottom w:val="nil"/>
              <w:right w:val="nil"/>
            </w:tcBorders>
            <w:shd w:val="clear" w:color="D9E1F2" w:fill="D9E1F2"/>
            <w:noWrap/>
            <w:vAlign w:val="bottom"/>
            <w:hideMark/>
          </w:tcPr>
          <w:p w14:paraId="66442C16" w14:textId="77777777" w:rsidR="003F02B6" w:rsidRDefault="003F02B6">
            <w:pPr>
              <w:rPr>
                <w:rFonts w:ascii="Calibri" w:hAnsi="Calibri" w:cs="Calibri"/>
                <w:b/>
                <w:bCs/>
                <w:color w:val="000000"/>
                <w:sz w:val="22"/>
                <w:szCs w:val="22"/>
              </w:rPr>
            </w:pPr>
            <w:r>
              <w:rPr>
                <w:rFonts w:ascii="Calibri" w:hAnsi="Calibri" w:cs="Calibri"/>
                <w:b/>
                <w:bCs/>
                <w:color w:val="000000"/>
                <w:sz w:val="22"/>
                <w:szCs w:val="22"/>
              </w:rPr>
              <w:t>Grand Total</w:t>
            </w:r>
          </w:p>
        </w:tc>
        <w:tc>
          <w:tcPr>
            <w:tcW w:w="981" w:type="dxa"/>
            <w:tcBorders>
              <w:top w:val="single" w:sz="4" w:space="0" w:color="8EA9DB"/>
              <w:left w:val="nil"/>
              <w:bottom w:val="nil"/>
              <w:right w:val="nil"/>
            </w:tcBorders>
            <w:shd w:val="clear" w:color="D9E1F2" w:fill="D9E1F2"/>
            <w:noWrap/>
            <w:vAlign w:val="bottom"/>
            <w:hideMark/>
          </w:tcPr>
          <w:p w14:paraId="605C3802" w14:textId="77777777" w:rsidR="003F02B6" w:rsidRDefault="003F02B6">
            <w:pPr>
              <w:jc w:val="center"/>
              <w:rPr>
                <w:rFonts w:ascii="Calibri" w:hAnsi="Calibri" w:cs="Calibri"/>
                <w:b/>
                <w:bCs/>
                <w:color w:val="000000"/>
                <w:sz w:val="22"/>
                <w:szCs w:val="22"/>
              </w:rPr>
            </w:pPr>
            <w:r>
              <w:rPr>
                <w:rFonts w:ascii="Calibri" w:hAnsi="Calibri" w:cs="Calibri"/>
                <w:b/>
                <w:bCs/>
                <w:color w:val="000000"/>
                <w:sz w:val="22"/>
                <w:szCs w:val="22"/>
              </w:rPr>
              <w:t>2436</w:t>
            </w:r>
          </w:p>
        </w:tc>
        <w:tc>
          <w:tcPr>
            <w:tcW w:w="882" w:type="dxa"/>
            <w:tcBorders>
              <w:top w:val="single" w:sz="4" w:space="0" w:color="8EA9DB"/>
              <w:left w:val="nil"/>
              <w:bottom w:val="nil"/>
              <w:right w:val="nil"/>
            </w:tcBorders>
            <w:shd w:val="clear" w:color="D9E1F2" w:fill="D9E1F2"/>
            <w:noWrap/>
            <w:vAlign w:val="bottom"/>
            <w:hideMark/>
          </w:tcPr>
          <w:p w14:paraId="4CDD93C5" w14:textId="77777777" w:rsidR="003F02B6" w:rsidRDefault="003F02B6">
            <w:pPr>
              <w:jc w:val="center"/>
              <w:rPr>
                <w:rFonts w:ascii="Calibri" w:hAnsi="Calibri" w:cs="Calibri"/>
                <w:b/>
                <w:bCs/>
                <w:color w:val="000000"/>
                <w:sz w:val="22"/>
                <w:szCs w:val="22"/>
              </w:rPr>
            </w:pPr>
            <w:r>
              <w:rPr>
                <w:rFonts w:ascii="Calibri" w:hAnsi="Calibri" w:cs="Calibri"/>
                <w:b/>
                <w:bCs/>
                <w:color w:val="000000"/>
                <w:sz w:val="22"/>
                <w:szCs w:val="22"/>
              </w:rPr>
              <w:t>100.0%</w:t>
            </w:r>
          </w:p>
        </w:tc>
      </w:tr>
    </w:tbl>
    <w:p w14:paraId="3BF2B513" w14:textId="77777777" w:rsidR="003F02B6" w:rsidRPr="00224D98" w:rsidRDefault="003F02B6" w:rsidP="00AF0A00">
      <w:pPr>
        <w:autoSpaceDE w:val="0"/>
        <w:autoSpaceDN w:val="0"/>
        <w:adjustRightInd w:val="0"/>
        <w:spacing w:line="360" w:lineRule="auto"/>
        <w:rPr>
          <w:rFonts w:ascii="Arial" w:hAnsi="Arial" w:cs="Arial"/>
          <w:iCs/>
          <w:color w:val="000000"/>
        </w:rPr>
      </w:pPr>
    </w:p>
    <w:p w14:paraId="277FD92A" w14:textId="7A9A0D05" w:rsidR="009D4A5D" w:rsidRDefault="51E9A9B4" w:rsidP="00195D82">
      <w:pPr>
        <w:autoSpaceDE w:val="0"/>
        <w:autoSpaceDN w:val="0"/>
        <w:adjustRightInd w:val="0"/>
        <w:spacing w:line="360" w:lineRule="auto"/>
        <w:rPr>
          <w:rFonts w:ascii="Arial" w:eastAsia="Arial" w:hAnsi="Arial" w:cs="Arial"/>
          <w:color w:val="000000" w:themeColor="text1"/>
        </w:rPr>
      </w:pPr>
      <w:r w:rsidRPr="00224D98">
        <w:rPr>
          <w:rFonts w:ascii="Arial" w:eastAsia="Arial" w:hAnsi="Arial" w:cs="Arial"/>
          <w:color w:val="000000" w:themeColor="text1"/>
        </w:rPr>
        <w:t>Among the small number of staff identifying themselves as disabled, there is a broad distribution across pay bands, with disabled staff represented from bands 3 through 8C and among Consultant/GP/GDP grade staff</w:t>
      </w:r>
      <w:r w:rsidR="00BE1067">
        <w:rPr>
          <w:rFonts w:ascii="Arial" w:eastAsia="Arial" w:hAnsi="Arial" w:cs="Arial"/>
          <w:color w:val="000000" w:themeColor="text1"/>
        </w:rPr>
        <w:t>, although the overall number of staff is too small to publish in tabular form by pay grade.</w:t>
      </w:r>
      <w:r w:rsidRPr="00224D98">
        <w:rPr>
          <w:rFonts w:ascii="Arial" w:eastAsia="Arial" w:hAnsi="Arial" w:cs="Arial"/>
          <w:color w:val="000000" w:themeColor="text1"/>
        </w:rPr>
        <w:t xml:space="preserve"> </w:t>
      </w:r>
    </w:p>
    <w:p w14:paraId="02F27461" w14:textId="77777777" w:rsidR="00195D82" w:rsidRPr="00224D98" w:rsidRDefault="00195D82" w:rsidP="00195D82">
      <w:pPr>
        <w:autoSpaceDE w:val="0"/>
        <w:autoSpaceDN w:val="0"/>
        <w:adjustRightInd w:val="0"/>
        <w:spacing w:line="360" w:lineRule="auto"/>
        <w:rPr>
          <w:rFonts w:ascii="Arial" w:eastAsia="Arial" w:hAnsi="Arial" w:cs="Arial"/>
          <w:color w:val="000000" w:themeColor="text1"/>
        </w:rPr>
      </w:pPr>
    </w:p>
    <w:p w14:paraId="277FD92C" w14:textId="2486DE08" w:rsidR="009D4A5D" w:rsidRPr="00224D98" w:rsidRDefault="008A6E28" w:rsidP="0096480A">
      <w:pPr>
        <w:autoSpaceDE w:val="0"/>
        <w:autoSpaceDN w:val="0"/>
        <w:adjustRightInd w:val="0"/>
        <w:spacing w:line="360" w:lineRule="auto"/>
        <w:rPr>
          <w:rFonts w:ascii="Arial" w:eastAsia="Arial" w:hAnsi="Arial" w:cs="Arial"/>
          <w:color w:val="000000" w:themeColor="text1"/>
        </w:rPr>
      </w:pPr>
      <w:r w:rsidRPr="00224D98">
        <w:rPr>
          <w:rFonts w:ascii="Arial" w:eastAsia="Arial" w:hAnsi="Arial" w:cs="Arial"/>
          <w:color w:val="000000" w:themeColor="text1"/>
        </w:rPr>
        <w:t>D</w:t>
      </w:r>
      <w:r w:rsidR="51E9A9B4" w:rsidRPr="00224D98">
        <w:rPr>
          <w:rFonts w:ascii="Arial" w:eastAsia="Arial" w:hAnsi="Arial" w:cs="Arial"/>
          <w:color w:val="000000" w:themeColor="text1"/>
        </w:rPr>
        <w:t>isabled staff work in a wide variety of different roles in the organisation</w:t>
      </w:r>
      <w:r w:rsidR="0096480A">
        <w:rPr>
          <w:rFonts w:ascii="Arial" w:eastAsia="Arial" w:hAnsi="Arial" w:cs="Arial"/>
          <w:color w:val="000000" w:themeColor="text1"/>
        </w:rPr>
        <w:t>.</w:t>
      </w:r>
    </w:p>
    <w:p w14:paraId="277FD92E" w14:textId="0E230CB7" w:rsidR="009D4A5D" w:rsidRPr="00224D98" w:rsidRDefault="51E9A9B4" w:rsidP="00AF0A00">
      <w:pPr>
        <w:autoSpaceDE w:val="0"/>
        <w:autoSpaceDN w:val="0"/>
        <w:adjustRightInd w:val="0"/>
        <w:spacing w:line="360" w:lineRule="auto"/>
        <w:rPr>
          <w:rFonts w:ascii="Arial" w:eastAsia="Arial" w:hAnsi="Arial" w:cs="Arial"/>
          <w:color w:val="000000" w:themeColor="text1"/>
        </w:rPr>
      </w:pPr>
      <w:r w:rsidRPr="00224D98">
        <w:rPr>
          <w:rFonts w:ascii="Arial" w:eastAsia="Arial" w:hAnsi="Arial" w:cs="Arial"/>
          <w:color w:val="000000" w:themeColor="text1"/>
        </w:rPr>
        <w:t>This would lead us to suggest that the more significant issue is that disabled people are under-represented among NES staff per se, rather than within any specific staff grouping or at a particular level.</w:t>
      </w:r>
      <w:r w:rsidR="007B579D" w:rsidRPr="00224D98">
        <w:rPr>
          <w:rFonts w:ascii="Arial" w:eastAsia="Arial" w:hAnsi="Arial" w:cs="Arial"/>
          <w:color w:val="000000" w:themeColor="text1"/>
        </w:rPr>
        <w:t xml:space="preserve"> The relatively even distribution of disabled staff </w:t>
      </w:r>
      <w:r w:rsidR="00947894" w:rsidRPr="00224D98">
        <w:rPr>
          <w:rFonts w:ascii="Arial" w:eastAsia="Arial" w:hAnsi="Arial" w:cs="Arial"/>
          <w:color w:val="000000" w:themeColor="text1"/>
        </w:rPr>
        <w:t>across the pay grades results in a minimal pay gap of 0.</w:t>
      </w:r>
      <w:r w:rsidR="00224D98" w:rsidRPr="00224D98">
        <w:rPr>
          <w:rFonts w:ascii="Arial" w:eastAsia="Arial" w:hAnsi="Arial" w:cs="Arial"/>
          <w:color w:val="000000" w:themeColor="text1"/>
        </w:rPr>
        <w:t>6%.</w:t>
      </w:r>
    </w:p>
    <w:p w14:paraId="277FD92F" w14:textId="77777777" w:rsidR="00B11D8C" w:rsidRPr="00224D98" w:rsidRDefault="00B11D8C" w:rsidP="00AF0A00">
      <w:pPr>
        <w:autoSpaceDE w:val="0"/>
        <w:autoSpaceDN w:val="0"/>
        <w:adjustRightInd w:val="0"/>
        <w:spacing w:line="360" w:lineRule="auto"/>
        <w:rPr>
          <w:rFonts w:ascii="Arial" w:hAnsi="Arial" w:cs="Arial"/>
          <w:iCs/>
          <w:color w:val="000000"/>
        </w:rPr>
      </w:pPr>
    </w:p>
    <w:p w14:paraId="277FD930" w14:textId="64830212" w:rsidR="00FC09A5" w:rsidRDefault="51E9A9B4" w:rsidP="00AF0A00">
      <w:pPr>
        <w:autoSpaceDE w:val="0"/>
        <w:autoSpaceDN w:val="0"/>
        <w:adjustRightInd w:val="0"/>
        <w:spacing w:line="360" w:lineRule="auto"/>
        <w:rPr>
          <w:rFonts w:ascii="Arial" w:eastAsia="Arial" w:hAnsi="Arial" w:cs="Arial"/>
          <w:color w:val="000000" w:themeColor="text1"/>
        </w:rPr>
      </w:pPr>
      <w:r w:rsidRPr="00224D98">
        <w:rPr>
          <w:rFonts w:ascii="Arial" w:eastAsia="Arial" w:hAnsi="Arial" w:cs="Arial"/>
          <w:color w:val="000000" w:themeColor="text1"/>
        </w:rPr>
        <w:t xml:space="preserve">The percentage of </w:t>
      </w:r>
      <w:r w:rsidR="00B70CDF" w:rsidRPr="00224D98">
        <w:rPr>
          <w:rFonts w:ascii="Arial" w:eastAsia="Arial" w:hAnsi="Arial" w:cs="Arial"/>
          <w:color w:val="000000" w:themeColor="text1"/>
        </w:rPr>
        <w:t>DiTs</w:t>
      </w:r>
      <w:r w:rsidRPr="00224D98">
        <w:rPr>
          <w:rFonts w:ascii="Arial" w:eastAsia="Arial" w:hAnsi="Arial" w:cs="Arial"/>
          <w:color w:val="000000" w:themeColor="text1"/>
        </w:rPr>
        <w:t xml:space="preserve"> identifying as disabled is very small, at less than </w:t>
      </w:r>
      <w:r w:rsidR="00B70CDF" w:rsidRPr="00224D98">
        <w:rPr>
          <w:rFonts w:ascii="Arial" w:eastAsia="Arial" w:hAnsi="Arial" w:cs="Arial"/>
          <w:color w:val="000000" w:themeColor="text1"/>
        </w:rPr>
        <w:t>1.3</w:t>
      </w:r>
      <w:r w:rsidRPr="00224D98">
        <w:rPr>
          <w:rFonts w:ascii="Arial" w:eastAsia="Arial" w:hAnsi="Arial" w:cs="Arial"/>
          <w:color w:val="000000" w:themeColor="text1"/>
        </w:rPr>
        <w:t>%. Work is currently underway to improve the equalities data collected from the GP trainee cohorts, which may impact on these numbers.</w:t>
      </w:r>
    </w:p>
    <w:p w14:paraId="10F35C1C" w14:textId="63216367" w:rsidR="000A6C69" w:rsidRDefault="000A6C69" w:rsidP="00AF0A00">
      <w:pPr>
        <w:autoSpaceDE w:val="0"/>
        <w:autoSpaceDN w:val="0"/>
        <w:adjustRightInd w:val="0"/>
        <w:spacing w:line="360" w:lineRule="auto"/>
        <w:rPr>
          <w:rFonts w:ascii="Arial" w:eastAsia="Arial" w:hAnsi="Arial" w:cs="Arial"/>
          <w:color w:val="000000" w:themeColor="text1"/>
        </w:rPr>
      </w:pPr>
    </w:p>
    <w:p w14:paraId="12EF6054" w14:textId="044F3E4D" w:rsidR="000A6C69" w:rsidRDefault="000A6C69" w:rsidP="00AF0A00">
      <w:pPr>
        <w:autoSpaceDE w:val="0"/>
        <w:autoSpaceDN w:val="0"/>
        <w:adjustRightInd w:val="0"/>
        <w:spacing w:line="360" w:lineRule="auto"/>
        <w:rPr>
          <w:rFonts w:ascii="Arial" w:eastAsia="Arial" w:hAnsi="Arial" w:cs="Arial"/>
          <w:color w:val="000000" w:themeColor="text1"/>
        </w:rPr>
      </w:pPr>
    </w:p>
    <w:p w14:paraId="6F15C3E5" w14:textId="310923AD" w:rsidR="000A6C69" w:rsidRDefault="000A6C69" w:rsidP="00AF0A00">
      <w:pPr>
        <w:autoSpaceDE w:val="0"/>
        <w:autoSpaceDN w:val="0"/>
        <w:adjustRightInd w:val="0"/>
        <w:spacing w:line="360" w:lineRule="auto"/>
        <w:rPr>
          <w:rFonts w:ascii="Arial" w:eastAsia="Arial" w:hAnsi="Arial" w:cs="Arial"/>
          <w:color w:val="000000" w:themeColor="text1"/>
        </w:rPr>
      </w:pPr>
    </w:p>
    <w:p w14:paraId="46AA6483" w14:textId="11DEC611" w:rsidR="000A6C69" w:rsidRDefault="000A6C69" w:rsidP="00AF0A00">
      <w:pPr>
        <w:autoSpaceDE w:val="0"/>
        <w:autoSpaceDN w:val="0"/>
        <w:adjustRightInd w:val="0"/>
        <w:spacing w:line="360" w:lineRule="auto"/>
        <w:rPr>
          <w:rFonts w:ascii="Arial" w:eastAsia="Arial" w:hAnsi="Arial" w:cs="Arial"/>
          <w:color w:val="000000" w:themeColor="text1"/>
        </w:rPr>
      </w:pPr>
    </w:p>
    <w:p w14:paraId="2A6130CD" w14:textId="6D99EBE8" w:rsidR="000A6C69" w:rsidRDefault="000A6C69" w:rsidP="00AF0A00">
      <w:pPr>
        <w:autoSpaceDE w:val="0"/>
        <w:autoSpaceDN w:val="0"/>
        <w:adjustRightInd w:val="0"/>
        <w:spacing w:line="360" w:lineRule="auto"/>
        <w:rPr>
          <w:rFonts w:ascii="Arial" w:eastAsia="Arial" w:hAnsi="Arial" w:cs="Arial"/>
          <w:color w:val="000000" w:themeColor="text1"/>
        </w:rPr>
      </w:pPr>
    </w:p>
    <w:p w14:paraId="277FD933" w14:textId="73B949C2" w:rsidR="00E206A3" w:rsidRPr="00483C93" w:rsidRDefault="00483C93" w:rsidP="00AF0A00">
      <w:pPr>
        <w:autoSpaceDE w:val="0"/>
        <w:autoSpaceDN w:val="0"/>
        <w:adjustRightInd w:val="0"/>
        <w:spacing w:line="360" w:lineRule="auto"/>
        <w:rPr>
          <w:rFonts w:ascii="Arial" w:eastAsia="Arial" w:hAnsi="Arial" w:cs="Arial"/>
          <w:b/>
          <w:bCs/>
          <w:color w:val="000000" w:themeColor="text1"/>
          <w:sz w:val="28"/>
        </w:rPr>
      </w:pPr>
      <w:r>
        <w:rPr>
          <w:rFonts w:ascii="Arial" w:eastAsia="Arial" w:hAnsi="Arial" w:cs="Arial"/>
          <w:b/>
          <w:bCs/>
          <w:color w:val="000000" w:themeColor="text1"/>
          <w:sz w:val="28"/>
        </w:rPr>
        <w:t xml:space="preserve">8. </w:t>
      </w:r>
      <w:r w:rsidR="51E9A9B4" w:rsidRPr="000437C1">
        <w:rPr>
          <w:rFonts w:ascii="Arial" w:eastAsia="Arial" w:hAnsi="Arial" w:cs="Arial"/>
          <w:b/>
          <w:bCs/>
          <w:color w:val="000000" w:themeColor="text1"/>
          <w:sz w:val="28"/>
        </w:rPr>
        <w:t>Occupational Segregation by Race</w:t>
      </w:r>
    </w:p>
    <w:p w14:paraId="277FD934" w14:textId="719BC3C7" w:rsidR="00E206A3" w:rsidRDefault="51E9A9B4" w:rsidP="00AF0A00">
      <w:pPr>
        <w:autoSpaceDE w:val="0"/>
        <w:autoSpaceDN w:val="0"/>
        <w:adjustRightInd w:val="0"/>
        <w:spacing w:line="360" w:lineRule="auto"/>
        <w:rPr>
          <w:rFonts w:ascii="Arial" w:eastAsia="Arial" w:hAnsi="Arial" w:cs="Arial"/>
          <w:color w:val="000000" w:themeColor="text1"/>
        </w:rPr>
      </w:pPr>
      <w:r w:rsidRPr="000437C1">
        <w:rPr>
          <w:rFonts w:ascii="Arial" w:eastAsia="Arial" w:hAnsi="Arial" w:cs="Arial"/>
          <w:color w:val="000000" w:themeColor="text1"/>
        </w:rPr>
        <w:t>NES’s overall ethnicity profile reflects staff from a range of ethnic origins, working within both A4C and Consultant/GP/GDP pay groups.</w:t>
      </w:r>
    </w:p>
    <w:p w14:paraId="7FB2A020" w14:textId="77777777" w:rsidR="00D643EC" w:rsidRPr="000437C1" w:rsidRDefault="00D643EC" w:rsidP="00AF0A00">
      <w:pPr>
        <w:autoSpaceDE w:val="0"/>
        <w:autoSpaceDN w:val="0"/>
        <w:adjustRightInd w:val="0"/>
        <w:spacing w:line="360" w:lineRule="auto"/>
        <w:rPr>
          <w:rFonts w:ascii="Arial" w:eastAsia="Arial" w:hAnsi="Arial" w:cs="Arial"/>
          <w:color w:val="000000" w:themeColor="text1"/>
        </w:rPr>
      </w:pPr>
    </w:p>
    <w:p w14:paraId="277FD936" w14:textId="719DEB8C" w:rsidR="009F7199" w:rsidRPr="003B7AD4" w:rsidRDefault="0003180C" w:rsidP="00AF0A00">
      <w:pPr>
        <w:autoSpaceDE w:val="0"/>
        <w:autoSpaceDN w:val="0"/>
        <w:adjustRightInd w:val="0"/>
        <w:spacing w:line="360" w:lineRule="auto"/>
        <w:rPr>
          <w:rFonts w:ascii="Arial" w:eastAsia="Arial" w:hAnsi="Arial" w:cs="Arial"/>
          <w:color w:val="000000" w:themeColor="text1"/>
          <w:highlight w:val="yellow"/>
        </w:rPr>
      </w:pPr>
      <w:r w:rsidRPr="0003180C">
        <w:rPr>
          <w:rFonts w:ascii="Arial" w:eastAsia="Arial" w:hAnsi="Arial" w:cs="Arial"/>
          <w:color w:val="000000" w:themeColor="text1"/>
        </w:rPr>
        <w:t>Table 9: Ethnic Group</w:t>
      </w:r>
    </w:p>
    <w:tbl>
      <w:tblPr>
        <w:tblW w:w="6202" w:type="dxa"/>
        <w:tblLayout w:type="fixed"/>
        <w:tblLook w:val="04A0" w:firstRow="1" w:lastRow="0" w:firstColumn="1" w:lastColumn="0" w:noHBand="0" w:noVBand="1"/>
      </w:tblPr>
      <w:tblGrid>
        <w:gridCol w:w="3060"/>
        <w:gridCol w:w="1571"/>
        <w:gridCol w:w="1571"/>
      </w:tblGrid>
      <w:tr w:rsidR="006158A3" w14:paraId="624DD46B" w14:textId="77777777" w:rsidTr="00C941E1">
        <w:trPr>
          <w:trHeight w:val="300"/>
        </w:trPr>
        <w:tc>
          <w:tcPr>
            <w:tcW w:w="3060" w:type="dxa"/>
            <w:tcBorders>
              <w:top w:val="single" w:sz="12" w:space="0" w:color="auto"/>
              <w:left w:val="single" w:sz="12" w:space="0" w:color="auto"/>
              <w:bottom w:val="single" w:sz="4" w:space="0" w:color="8EA9DB"/>
              <w:right w:val="nil"/>
            </w:tcBorders>
            <w:shd w:val="clear" w:color="D9E1F2" w:fill="D9E1F2"/>
            <w:noWrap/>
            <w:vAlign w:val="bottom"/>
            <w:hideMark/>
          </w:tcPr>
          <w:p w14:paraId="5A50A43A" w14:textId="77777777" w:rsidR="006158A3" w:rsidRDefault="006158A3">
            <w:pPr>
              <w:rPr>
                <w:rFonts w:ascii="Calibri" w:hAnsi="Calibri" w:cs="Calibri"/>
                <w:b/>
                <w:bCs/>
                <w:color w:val="000000"/>
                <w:sz w:val="22"/>
                <w:szCs w:val="22"/>
              </w:rPr>
            </w:pPr>
            <w:r>
              <w:rPr>
                <w:rFonts w:ascii="Calibri" w:hAnsi="Calibri" w:cs="Calibri"/>
                <w:b/>
                <w:bCs/>
                <w:color w:val="000000"/>
                <w:sz w:val="22"/>
                <w:szCs w:val="22"/>
              </w:rPr>
              <w:t>Ethnic Group</w:t>
            </w:r>
          </w:p>
        </w:tc>
        <w:tc>
          <w:tcPr>
            <w:tcW w:w="1571" w:type="dxa"/>
            <w:tcBorders>
              <w:top w:val="single" w:sz="12" w:space="0" w:color="auto"/>
              <w:left w:val="nil"/>
              <w:bottom w:val="single" w:sz="4" w:space="0" w:color="8EA9DB"/>
              <w:right w:val="nil"/>
            </w:tcBorders>
            <w:shd w:val="clear" w:color="D9E1F2" w:fill="D9E1F2"/>
            <w:noWrap/>
            <w:vAlign w:val="bottom"/>
            <w:hideMark/>
          </w:tcPr>
          <w:p w14:paraId="62B933BD" w14:textId="77777777" w:rsidR="006158A3" w:rsidRDefault="006158A3">
            <w:pPr>
              <w:jc w:val="center"/>
              <w:rPr>
                <w:rFonts w:ascii="Calibri" w:hAnsi="Calibri" w:cs="Calibri"/>
                <w:b/>
                <w:bCs/>
                <w:color w:val="000000"/>
                <w:sz w:val="22"/>
                <w:szCs w:val="22"/>
              </w:rPr>
            </w:pPr>
            <w:r>
              <w:rPr>
                <w:rFonts w:ascii="Calibri" w:hAnsi="Calibri" w:cs="Calibri"/>
                <w:b/>
                <w:bCs/>
                <w:color w:val="000000"/>
                <w:sz w:val="22"/>
                <w:szCs w:val="22"/>
              </w:rPr>
              <w:t>N</w:t>
            </w:r>
          </w:p>
        </w:tc>
        <w:tc>
          <w:tcPr>
            <w:tcW w:w="1571" w:type="dxa"/>
            <w:tcBorders>
              <w:top w:val="single" w:sz="12" w:space="0" w:color="auto"/>
              <w:left w:val="nil"/>
              <w:bottom w:val="single" w:sz="4" w:space="0" w:color="8EA9DB"/>
              <w:right w:val="single" w:sz="12" w:space="0" w:color="auto"/>
            </w:tcBorders>
            <w:shd w:val="clear" w:color="D9E1F2" w:fill="D9E1F2"/>
            <w:noWrap/>
            <w:vAlign w:val="bottom"/>
            <w:hideMark/>
          </w:tcPr>
          <w:p w14:paraId="7602BE5C" w14:textId="77777777" w:rsidR="006158A3" w:rsidRDefault="006158A3">
            <w:pPr>
              <w:jc w:val="center"/>
              <w:rPr>
                <w:rFonts w:ascii="Calibri" w:hAnsi="Calibri" w:cs="Calibri"/>
                <w:b/>
                <w:bCs/>
                <w:color w:val="000000"/>
                <w:sz w:val="22"/>
                <w:szCs w:val="22"/>
              </w:rPr>
            </w:pPr>
            <w:r>
              <w:rPr>
                <w:rFonts w:ascii="Calibri" w:hAnsi="Calibri" w:cs="Calibri"/>
                <w:b/>
                <w:bCs/>
                <w:color w:val="000000"/>
                <w:sz w:val="22"/>
                <w:szCs w:val="22"/>
              </w:rPr>
              <w:t>%</w:t>
            </w:r>
          </w:p>
        </w:tc>
      </w:tr>
      <w:tr w:rsidR="006158A3" w14:paraId="1FE65825" w14:textId="77777777" w:rsidTr="00C941E1">
        <w:trPr>
          <w:trHeight w:val="300"/>
        </w:trPr>
        <w:tc>
          <w:tcPr>
            <w:tcW w:w="3060" w:type="dxa"/>
            <w:tcBorders>
              <w:top w:val="nil"/>
              <w:left w:val="single" w:sz="12" w:space="0" w:color="auto"/>
              <w:bottom w:val="nil"/>
              <w:right w:val="nil"/>
            </w:tcBorders>
            <w:shd w:val="clear" w:color="auto" w:fill="auto"/>
            <w:noWrap/>
            <w:vAlign w:val="bottom"/>
            <w:hideMark/>
          </w:tcPr>
          <w:p w14:paraId="5EDAF698" w14:textId="77777777" w:rsidR="006158A3" w:rsidRDefault="006158A3">
            <w:pPr>
              <w:rPr>
                <w:rFonts w:ascii="Calibri" w:hAnsi="Calibri" w:cs="Calibri"/>
                <w:color w:val="000000"/>
                <w:sz w:val="22"/>
                <w:szCs w:val="22"/>
              </w:rPr>
            </w:pPr>
            <w:r>
              <w:rPr>
                <w:rFonts w:ascii="Calibri" w:hAnsi="Calibri" w:cs="Calibri"/>
                <w:color w:val="000000"/>
                <w:sz w:val="22"/>
                <w:szCs w:val="22"/>
              </w:rPr>
              <w:t>African</w:t>
            </w:r>
          </w:p>
        </w:tc>
        <w:tc>
          <w:tcPr>
            <w:tcW w:w="1571" w:type="dxa"/>
            <w:tcBorders>
              <w:top w:val="nil"/>
              <w:left w:val="nil"/>
              <w:bottom w:val="nil"/>
              <w:right w:val="nil"/>
            </w:tcBorders>
            <w:shd w:val="clear" w:color="auto" w:fill="auto"/>
            <w:noWrap/>
            <w:vAlign w:val="bottom"/>
            <w:hideMark/>
          </w:tcPr>
          <w:p w14:paraId="11330A60" w14:textId="77777777" w:rsidR="006158A3" w:rsidRDefault="006158A3">
            <w:pPr>
              <w:jc w:val="center"/>
              <w:rPr>
                <w:rFonts w:ascii="Calibri" w:hAnsi="Calibri" w:cs="Calibri"/>
                <w:color w:val="000000"/>
                <w:sz w:val="22"/>
                <w:szCs w:val="22"/>
              </w:rPr>
            </w:pPr>
            <w:r>
              <w:rPr>
                <w:rFonts w:ascii="Calibri" w:hAnsi="Calibri" w:cs="Calibri"/>
                <w:color w:val="000000"/>
                <w:sz w:val="22"/>
                <w:szCs w:val="22"/>
              </w:rPr>
              <w:t>30</w:t>
            </w:r>
          </w:p>
        </w:tc>
        <w:tc>
          <w:tcPr>
            <w:tcW w:w="1571" w:type="dxa"/>
            <w:tcBorders>
              <w:top w:val="nil"/>
              <w:left w:val="nil"/>
              <w:bottom w:val="nil"/>
              <w:right w:val="single" w:sz="12" w:space="0" w:color="auto"/>
            </w:tcBorders>
            <w:shd w:val="clear" w:color="auto" w:fill="auto"/>
            <w:noWrap/>
            <w:vAlign w:val="bottom"/>
            <w:hideMark/>
          </w:tcPr>
          <w:p w14:paraId="6E21C097" w14:textId="77777777" w:rsidR="006158A3" w:rsidRDefault="006158A3">
            <w:pPr>
              <w:jc w:val="center"/>
              <w:rPr>
                <w:rFonts w:ascii="Calibri" w:hAnsi="Calibri" w:cs="Calibri"/>
                <w:color w:val="000000"/>
                <w:sz w:val="22"/>
                <w:szCs w:val="22"/>
              </w:rPr>
            </w:pPr>
            <w:r>
              <w:rPr>
                <w:rFonts w:ascii="Calibri" w:hAnsi="Calibri" w:cs="Calibri"/>
                <w:color w:val="000000"/>
                <w:sz w:val="22"/>
                <w:szCs w:val="22"/>
              </w:rPr>
              <w:t>1.4%</w:t>
            </w:r>
          </w:p>
        </w:tc>
      </w:tr>
      <w:tr w:rsidR="006158A3" w14:paraId="59127808" w14:textId="77777777" w:rsidTr="00C941E1">
        <w:trPr>
          <w:trHeight w:val="300"/>
        </w:trPr>
        <w:tc>
          <w:tcPr>
            <w:tcW w:w="3060" w:type="dxa"/>
            <w:tcBorders>
              <w:top w:val="nil"/>
              <w:left w:val="single" w:sz="12" w:space="0" w:color="auto"/>
              <w:bottom w:val="nil"/>
              <w:right w:val="nil"/>
            </w:tcBorders>
            <w:shd w:val="clear" w:color="auto" w:fill="auto"/>
            <w:noWrap/>
            <w:vAlign w:val="bottom"/>
            <w:hideMark/>
          </w:tcPr>
          <w:p w14:paraId="62D03D82" w14:textId="77777777" w:rsidR="006158A3" w:rsidRDefault="006158A3">
            <w:pPr>
              <w:rPr>
                <w:rFonts w:ascii="Calibri" w:hAnsi="Calibri" w:cs="Calibri"/>
                <w:color w:val="000000"/>
                <w:sz w:val="22"/>
                <w:szCs w:val="22"/>
              </w:rPr>
            </w:pPr>
            <w:r>
              <w:rPr>
                <w:rFonts w:ascii="Calibri" w:hAnsi="Calibri" w:cs="Calibri"/>
                <w:color w:val="000000"/>
                <w:sz w:val="22"/>
                <w:szCs w:val="22"/>
              </w:rPr>
              <w:t>Asian</w:t>
            </w:r>
          </w:p>
        </w:tc>
        <w:tc>
          <w:tcPr>
            <w:tcW w:w="1571" w:type="dxa"/>
            <w:tcBorders>
              <w:top w:val="nil"/>
              <w:left w:val="nil"/>
              <w:bottom w:val="nil"/>
              <w:right w:val="nil"/>
            </w:tcBorders>
            <w:shd w:val="clear" w:color="auto" w:fill="auto"/>
            <w:noWrap/>
            <w:vAlign w:val="bottom"/>
            <w:hideMark/>
          </w:tcPr>
          <w:p w14:paraId="69D49BA9" w14:textId="77777777" w:rsidR="006158A3" w:rsidRDefault="006158A3">
            <w:pPr>
              <w:jc w:val="center"/>
              <w:rPr>
                <w:rFonts w:ascii="Calibri" w:hAnsi="Calibri" w:cs="Calibri"/>
                <w:color w:val="000000"/>
                <w:sz w:val="22"/>
                <w:szCs w:val="22"/>
              </w:rPr>
            </w:pPr>
            <w:r>
              <w:rPr>
                <w:rFonts w:ascii="Calibri" w:hAnsi="Calibri" w:cs="Calibri"/>
                <w:color w:val="000000"/>
                <w:sz w:val="22"/>
                <w:szCs w:val="22"/>
              </w:rPr>
              <w:t>193</w:t>
            </w:r>
          </w:p>
        </w:tc>
        <w:tc>
          <w:tcPr>
            <w:tcW w:w="1571" w:type="dxa"/>
            <w:tcBorders>
              <w:top w:val="nil"/>
              <w:left w:val="nil"/>
              <w:bottom w:val="nil"/>
              <w:right w:val="single" w:sz="12" w:space="0" w:color="auto"/>
            </w:tcBorders>
            <w:shd w:val="clear" w:color="auto" w:fill="auto"/>
            <w:noWrap/>
            <w:vAlign w:val="bottom"/>
            <w:hideMark/>
          </w:tcPr>
          <w:p w14:paraId="1C6490C4" w14:textId="77777777" w:rsidR="006158A3" w:rsidRDefault="006158A3">
            <w:pPr>
              <w:jc w:val="center"/>
              <w:rPr>
                <w:rFonts w:ascii="Calibri" w:hAnsi="Calibri" w:cs="Calibri"/>
                <w:color w:val="000000"/>
                <w:sz w:val="22"/>
                <w:szCs w:val="22"/>
              </w:rPr>
            </w:pPr>
            <w:r>
              <w:rPr>
                <w:rFonts w:ascii="Calibri" w:hAnsi="Calibri" w:cs="Calibri"/>
                <w:color w:val="000000"/>
                <w:sz w:val="22"/>
                <w:szCs w:val="22"/>
              </w:rPr>
              <w:t>8.5%</w:t>
            </w:r>
          </w:p>
        </w:tc>
      </w:tr>
      <w:tr w:rsidR="006158A3" w14:paraId="1BDAA4EB" w14:textId="77777777" w:rsidTr="00C941E1">
        <w:trPr>
          <w:trHeight w:val="300"/>
        </w:trPr>
        <w:tc>
          <w:tcPr>
            <w:tcW w:w="3060" w:type="dxa"/>
            <w:tcBorders>
              <w:top w:val="nil"/>
              <w:left w:val="single" w:sz="12" w:space="0" w:color="auto"/>
              <w:bottom w:val="nil"/>
              <w:right w:val="nil"/>
            </w:tcBorders>
            <w:shd w:val="clear" w:color="auto" w:fill="auto"/>
            <w:noWrap/>
            <w:vAlign w:val="bottom"/>
            <w:hideMark/>
          </w:tcPr>
          <w:p w14:paraId="3493BA07" w14:textId="77777777" w:rsidR="006158A3" w:rsidRDefault="006158A3">
            <w:pPr>
              <w:rPr>
                <w:rFonts w:ascii="Calibri" w:hAnsi="Calibri" w:cs="Calibri"/>
                <w:color w:val="000000"/>
                <w:sz w:val="22"/>
                <w:szCs w:val="22"/>
              </w:rPr>
            </w:pPr>
            <w:r>
              <w:rPr>
                <w:rFonts w:ascii="Calibri" w:hAnsi="Calibri" w:cs="Calibri"/>
                <w:color w:val="000000"/>
                <w:sz w:val="22"/>
                <w:szCs w:val="22"/>
              </w:rPr>
              <w:t>Caribbean</w:t>
            </w:r>
          </w:p>
        </w:tc>
        <w:tc>
          <w:tcPr>
            <w:tcW w:w="1571" w:type="dxa"/>
            <w:tcBorders>
              <w:top w:val="nil"/>
              <w:left w:val="nil"/>
              <w:bottom w:val="nil"/>
              <w:right w:val="nil"/>
            </w:tcBorders>
            <w:shd w:val="clear" w:color="auto" w:fill="auto"/>
            <w:noWrap/>
            <w:vAlign w:val="bottom"/>
            <w:hideMark/>
          </w:tcPr>
          <w:p w14:paraId="22546055" w14:textId="77777777" w:rsidR="006158A3" w:rsidRDefault="006158A3">
            <w:pPr>
              <w:jc w:val="center"/>
              <w:rPr>
                <w:rFonts w:ascii="Calibri" w:hAnsi="Calibri" w:cs="Calibri"/>
                <w:color w:val="000000"/>
                <w:sz w:val="22"/>
                <w:szCs w:val="22"/>
              </w:rPr>
            </w:pPr>
            <w:r>
              <w:rPr>
                <w:rFonts w:ascii="Calibri" w:hAnsi="Calibri" w:cs="Calibri"/>
                <w:color w:val="000000"/>
                <w:sz w:val="22"/>
                <w:szCs w:val="22"/>
              </w:rPr>
              <w:t>39</w:t>
            </w:r>
          </w:p>
        </w:tc>
        <w:tc>
          <w:tcPr>
            <w:tcW w:w="1571" w:type="dxa"/>
            <w:tcBorders>
              <w:top w:val="nil"/>
              <w:left w:val="nil"/>
              <w:bottom w:val="nil"/>
              <w:right w:val="single" w:sz="12" w:space="0" w:color="auto"/>
            </w:tcBorders>
            <w:shd w:val="clear" w:color="auto" w:fill="auto"/>
            <w:noWrap/>
            <w:vAlign w:val="bottom"/>
            <w:hideMark/>
          </w:tcPr>
          <w:p w14:paraId="1A0062CA" w14:textId="77777777" w:rsidR="006158A3" w:rsidRDefault="006158A3">
            <w:pPr>
              <w:jc w:val="center"/>
              <w:rPr>
                <w:rFonts w:ascii="Calibri" w:hAnsi="Calibri" w:cs="Calibri"/>
                <w:color w:val="000000"/>
                <w:sz w:val="22"/>
                <w:szCs w:val="22"/>
              </w:rPr>
            </w:pPr>
            <w:r>
              <w:rPr>
                <w:rFonts w:ascii="Calibri" w:hAnsi="Calibri" w:cs="Calibri"/>
                <w:color w:val="000000"/>
                <w:sz w:val="22"/>
                <w:szCs w:val="22"/>
              </w:rPr>
              <w:t>1.8%</w:t>
            </w:r>
          </w:p>
        </w:tc>
      </w:tr>
      <w:tr w:rsidR="006158A3" w14:paraId="75C7783B" w14:textId="77777777" w:rsidTr="00C941E1">
        <w:trPr>
          <w:trHeight w:val="300"/>
        </w:trPr>
        <w:tc>
          <w:tcPr>
            <w:tcW w:w="3060" w:type="dxa"/>
            <w:tcBorders>
              <w:top w:val="nil"/>
              <w:left w:val="single" w:sz="12" w:space="0" w:color="auto"/>
              <w:bottom w:val="nil"/>
              <w:right w:val="nil"/>
            </w:tcBorders>
            <w:shd w:val="clear" w:color="auto" w:fill="auto"/>
            <w:noWrap/>
            <w:vAlign w:val="bottom"/>
            <w:hideMark/>
          </w:tcPr>
          <w:p w14:paraId="2DF5946D" w14:textId="77777777" w:rsidR="006158A3" w:rsidRDefault="006158A3">
            <w:pPr>
              <w:rPr>
                <w:rFonts w:ascii="Calibri" w:hAnsi="Calibri" w:cs="Calibri"/>
                <w:color w:val="000000"/>
                <w:sz w:val="22"/>
                <w:szCs w:val="22"/>
              </w:rPr>
            </w:pPr>
            <w:r>
              <w:rPr>
                <w:rFonts w:ascii="Calibri" w:hAnsi="Calibri" w:cs="Calibri"/>
                <w:color w:val="000000"/>
                <w:sz w:val="22"/>
                <w:szCs w:val="22"/>
              </w:rPr>
              <w:t>Don't Know</w:t>
            </w:r>
          </w:p>
        </w:tc>
        <w:tc>
          <w:tcPr>
            <w:tcW w:w="1571" w:type="dxa"/>
            <w:tcBorders>
              <w:top w:val="nil"/>
              <w:left w:val="nil"/>
              <w:bottom w:val="nil"/>
              <w:right w:val="nil"/>
            </w:tcBorders>
            <w:shd w:val="clear" w:color="auto" w:fill="auto"/>
            <w:noWrap/>
            <w:vAlign w:val="bottom"/>
            <w:hideMark/>
          </w:tcPr>
          <w:p w14:paraId="414BF742" w14:textId="77777777" w:rsidR="006158A3" w:rsidRDefault="006158A3">
            <w:pPr>
              <w:jc w:val="center"/>
              <w:rPr>
                <w:rFonts w:ascii="Calibri" w:hAnsi="Calibri" w:cs="Calibri"/>
                <w:color w:val="000000"/>
                <w:sz w:val="22"/>
                <w:szCs w:val="22"/>
              </w:rPr>
            </w:pPr>
            <w:r>
              <w:rPr>
                <w:rFonts w:ascii="Calibri" w:hAnsi="Calibri" w:cs="Calibri"/>
                <w:color w:val="000000"/>
                <w:sz w:val="22"/>
                <w:szCs w:val="22"/>
              </w:rPr>
              <w:t>431</w:t>
            </w:r>
          </w:p>
        </w:tc>
        <w:tc>
          <w:tcPr>
            <w:tcW w:w="1571" w:type="dxa"/>
            <w:tcBorders>
              <w:top w:val="nil"/>
              <w:left w:val="nil"/>
              <w:bottom w:val="nil"/>
              <w:right w:val="single" w:sz="12" w:space="0" w:color="auto"/>
            </w:tcBorders>
            <w:shd w:val="clear" w:color="auto" w:fill="auto"/>
            <w:noWrap/>
            <w:vAlign w:val="bottom"/>
            <w:hideMark/>
          </w:tcPr>
          <w:p w14:paraId="1A597AC4" w14:textId="77777777" w:rsidR="006158A3" w:rsidRDefault="006158A3">
            <w:pPr>
              <w:jc w:val="center"/>
              <w:rPr>
                <w:rFonts w:ascii="Calibri" w:hAnsi="Calibri" w:cs="Calibri"/>
                <w:color w:val="000000"/>
                <w:sz w:val="22"/>
                <w:szCs w:val="22"/>
              </w:rPr>
            </w:pPr>
            <w:r>
              <w:rPr>
                <w:rFonts w:ascii="Calibri" w:hAnsi="Calibri" w:cs="Calibri"/>
                <w:color w:val="000000"/>
                <w:sz w:val="22"/>
                <w:szCs w:val="22"/>
              </w:rPr>
              <w:t>18.9%</w:t>
            </w:r>
          </w:p>
        </w:tc>
      </w:tr>
      <w:tr w:rsidR="006158A3" w14:paraId="6EA18E56" w14:textId="77777777" w:rsidTr="00C941E1">
        <w:trPr>
          <w:trHeight w:val="300"/>
        </w:trPr>
        <w:tc>
          <w:tcPr>
            <w:tcW w:w="3060" w:type="dxa"/>
            <w:tcBorders>
              <w:top w:val="nil"/>
              <w:left w:val="single" w:sz="12" w:space="0" w:color="auto"/>
              <w:bottom w:val="nil"/>
              <w:right w:val="nil"/>
            </w:tcBorders>
            <w:shd w:val="clear" w:color="auto" w:fill="auto"/>
            <w:noWrap/>
            <w:vAlign w:val="bottom"/>
            <w:hideMark/>
          </w:tcPr>
          <w:p w14:paraId="005C7722" w14:textId="77777777" w:rsidR="006158A3" w:rsidRDefault="006158A3">
            <w:pPr>
              <w:rPr>
                <w:rFonts w:ascii="Calibri" w:hAnsi="Calibri" w:cs="Calibri"/>
                <w:color w:val="000000"/>
                <w:sz w:val="22"/>
                <w:szCs w:val="22"/>
              </w:rPr>
            </w:pPr>
            <w:r>
              <w:rPr>
                <w:rFonts w:ascii="Calibri" w:hAnsi="Calibri" w:cs="Calibri"/>
                <w:color w:val="000000"/>
                <w:sz w:val="22"/>
                <w:szCs w:val="22"/>
              </w:rPr>
              <w:t>Mixed or Multiple Ethnic Group</w:t>
            </w:r>
          </w:p>
        </w:tc>
        <w:tc>
          <w:tcPr>
            <w:tcW w:w="1571" w:type="dxa"/>
            <w:tcBorders>
              <w:top w:val="nil"/>
              <w:left w:val="nil"/>
              <w:bottom w:val="nil"/>
              <w:right w:val="nil"/>
            </w:tcBorders>
            <w:shd w:val="clear" w:color="auto" w:fill="auto"/>
            <w:noWrap/>
            <w:vAlign w:val="bottom"/>
            <w:hideMark/>
          </w:tcPr>
          <w:p w14:paraId="76530507" w14:textId="77777777" w:rsidR="006158A3" w:rsidRDefault="006158A3">
            <w:pPr>
              <w:jc w:val="center"/>
              <w:rPr>
                <w:rFonts w:ascii="Calibri" w:hAnsi="Calibri" w:cs="Calibri"/>
                <w:color w:val="000000"/>
                <w:sz w:val="22"/>
                <w:szCs w:val="22"/>
              </w:rPr>
            </w:pPr>
            <w:r>
              <w:rPr>
                <w:rFonts w:ascii="Calibri" w:hAnsi="Calibri" w:cs="Calibri"/>
                <w:color w:val="000000"/>
                <w:sz w:val="22"/>
                <w:szCs w:val="22"/>
              </w:rPr>
              <w:t>41</w:t>
            </w:r>
          </w:p>
        </w:tc>
        <w:tc>
          <w:tcPr>
            <w:tcW w:w="1571" w:type="dxa"/>
            <w:tcBorders>
              <w:top w:val="nil"/>
              <w:left w:val="nil"/>
              <w:bottom w:val="nil"/>
              <w:right w:val="single" w:sz="12" w:space="0" w:color="auto"/>
            </w:tcBorders>
            <w:shd w:val="clear" w:color="auto" w:fill="auto"/>
            <w:noWrap/>
            <w:vAlign w:val="bottom"/>
            <w:hideMark/>
          </w:tcPr>
          <w:p w14:paraId="69F4C7CA" w14:textId="77777777" w:rsidR="006158A3" w:rsidRDefault="006158A3">
            <w:pPr>
              <w:jc w:val="center"/>
              <w:rPr>
                <w:rFonts w:ascii="Calibri" w:hAnsi="Calibri" w:cs="Calibri"/>
                <w:color w:val="000000"/>
                <w:sz w:val="22"/>
                <w:szCs w:val="22"/>
              </w:rPr>
            </w:pPr>
            <w:r>
              <w:rPr>
                <w:rFonts w:ascii="Calibri" w:hAnsi="Calibri" w:cs="Calibri"/>
                <w:color w:val="000000"/>
                <w:sz w:val="22"/>
                <w:szCs w:val="22"/>
              </w:rPr>
              <w:t>1.9%</w:t>
            </w:r>
          </w:p>
        </w:tc>
      </w:tr>
      <w:tr w:rsidR="006158A3" w14:paraId="1A4E7617" w14:textId="77777777" w:rsidTr="00C941E1">
        <w:trPr>
          <w:trHeight w:val="300"/>
        </w:trPr>
        <w:tc>
          <w:tcPr>
            <w:tcW w:w="3060" w:type="dxa"/>
            <w:tcBorders>
              <w:top w:val="nil"/>
              <w:left w:val="single" w:sz="12" w:space="0" w:color="auto"/>
              <w:bottom w:val="nil"/>
              <w:right w:val="nil"/>
            </w:tcBorders>
            <w:shd w:val="clear" w:color="auto" w:fill="auto"/>
            <w:noWrap/>
            <w:vAlign w:val="bottom"/>
            <w:hideMark/>
          </w:tcPr>
          <w:p w14:paraId="46DE600B" w14:textId="77777777" w:rsidR="006158A3" w:rsidRDefault="006158A3">
            <w:pPr>
              <w:rPr>
                <w:rFonts w:ascii="Calibri" w:hAnsi="Calibri" w:cs="Calibri"/>
                <w:color w:val="000000"/>
                <w:sz w:val="22"/>
                <w:szCs w:val="22"/>
              </w:rPr>
            </w:pPr>
            <w:r>
              <w:rPr>
                <w:rFonts w:ascii="Calibri" w:hAnsi="Calibri" w:cs="Calibri"/>
                <w:color w:val="000000"/>
                <w:sz w:val="22"/>
                <w:szCs w:val="22"/>
              </w:rPr>
              <w:t>Other Ethnic Group</w:t>
            </w:r>
          </w:p>
        </w:tc>
        <w:tc>
          <w:tcPr>
            <w:tcW w:w="1571" w:type="dxa"/>
            <w:tcBorders>
              <w:top w:val="nil"/>
              <w:left w:val="nil"/>
              <w:bottom w:val="nil"/>
              <w:right w:val="nil"/>
            </w:tcBorders>
            <w:shd w:val="clear" w:color="auto" w:fill="auto"/>
            <w:noWrap/>
            <w:vAlign w:val="bottom"/>
            <w:hideMark/>
          </w:tcPr>
          <w:p w14:paraId="5C1767ED" w14:textId="77777777" w:rsidR="006158A3" w:rsidRDefault="006158A3">
            <w:pPr>
              <w:jc w:val="center"/>
              <w:rPr>
                <w:rFonts w:ascii="Calibri" w:hAnsi="Calibri" w:cs="Calibri"/>
                <w:color w:val="000000"/>
                <w:sz w:val="22"/>
                <w:szCs w:val="22"/>
              </w:rPr>
            </w:pPr>
            <w:r>
              <w:rPr>
                <w:rFonts w:ascii="Calibri" w:hAnsi="Calibri" w:cs="Calibri"/>
                <w:color w:val="000000"/>
                <w:sz w:val="22"/>
                <w:szCs w:val="22"/>
              </w:rPr>
              <w:t>22</w:t>
            </w:r>
          </w:p>
        </w:tc>
        <w:tc>
          <w:tcPr>
            <w:tcW w:w="1571" w:type="dxa"/>
            <w:tcBorders>
              <w:top w:val="nil"/>
              <w:left w:val="nil"/>
              <w:bottom w:val="nil"/>
              <w:right w:val="single" w:sz="12" w:space="0" w:color="auto"/>
            </w:tcBorders>
            <w:shd w:val="clear" w:color="auto" w:fill="auto"/>
            <w:noWrap/>
            <w:vAlign w:val="bottom"/>
            <w:hideMark/>
          </w:tcPr>
          <w:p w14:paraId="08FAD873" w14:textId="77777777" w:rsidR="006158A3" w:rsidRDefault="006158A3">
            <w:pPr>
              <w:jc w:val="center"/>
              <w:rPr>
                <w:rFonts w:ascii="Calibri" w:hAnsi="Calibri" w:cs="Calibri"/>
                <w:color w:val="000000"/>
                <w:sz w:val="22"/>
                <w:szCs w:val="22"/>
              </w:rPr>
            </w:pPr>
            <w:r>
              <w:rPr>
                <w:rFonts w:ascii="Calibri" w:hAnsi="Calibri" w:cs="Calibri"/>
                <w:color w:val="000000"/>
                <w:sz w:val="22"/>
                <w:szCs w:val="22"/>
              </w:rPr>
              <w:t>0.9%</w:t>
            </w:r>
          </w:p>
        </w:tc>
      </w:tr>
      <w:tr w:rsidR="006158A3" w14:paraId="66E854F9" w14:textId="77777777" w:rsidTr="00C941E1">
        <w:trPr>
          <w:trHeight w:val="300"/>
        </w:trPr>
        <w:tc>
          <w:tcPr>
            <w:tcW w:w="3060" w:type="dxa"/>
            <w:tcBorders>
              <w:top w:val="nil"/>
              <w:left w:val="single" w:sz="12" w:space="0" w:color="auto"/>
              <w:bottom w:val="nil"/>
              <w:right w:val="nil"/>
            </w:tcBorders>
            <w:shd w:val="clear" w:color="auto" w:fill="auto"/>
            <w:noWrap/>
            <w:vAlign w:val="bottom"/>
            <w:hideMark/>
          </w:tcPr>
          <w:p w14:paraId="4F1520AE" w14:textId="77777777" w:rsidR="006158A3" w:rsidRDefault="006158A3">
            <w:pPr>
              <w:rPr>
                <w:rFonts w:ascii="Calibri" w:hAnsi="Calibri" w:cs="Calibri"/>
                <w:color w:val="000000"/>
                <w:sz w:val="22"/>
                <w:szCs w:val="22"/>
              </w:rPr>
            </w:pPr>
            <w:r>
              <w:rPr>
                <w:rFonts w:ascii="Calibri" w:hAnsi="Calibri" w:cs="Calibri"/>
                <w:color w:val="000000"/>
                <w:sz w:val="22"/>
                <w:szCs w:val="22"/>
              </w:rPr>
              <w:t>Prefer not to say</w:t>
            </w:r>
          </w:p>
        </w:tc>
        <w:tc>
          <w:tcPr>
            <w:tcW w:w="1571" w:type="dxa"/>
            <w:tcBorders>
              <w:top w:val="nil"/>
              <w:left w:val="nil"/>
              <w:bottom w:val="nil"/>
              <w:right w:val="nil"/>
            </w:tcBorders>
            <w:shd w:val="clear" w:color="auto" w:fill="auto"/>
            <w:noWrap/>
            <w:vAlign w:val="bottom"/>
            <w:hideMark/>
          </w:tcPr>
          <w:p w14:paraId="78938242" w14:textId="77777777" w:rsidR="006158A3" w:rsidRDefault="006158A3">
            <w:pPr>
              <w:jc w:val="center"/>
              <w:rPr>
                <w:rFonts w:ascii="Calibri" w:hAnsi="Calibri" w:cs="Calibri"/>
                <w:color w:val="000000"/>
                <w:sz w:val="22"/>
                <w:szCs w:val="22"/>
              </w:rPr>
            </w:pPr>
            <w:r>
              <w:rPr>
                <w:rFonts w:ascii="Calibri" w:hAnsi="Calibri" w:cs="Calibri"/>
                <w:color w:val="000000"/>
                <w:sz w:val="22"/>
                <w:szCs w:val="22"/>
              </w:rPr>
              <w:t>83</w:t>
            </w:r>
          </w:p>
        </w:tc>
        <w:tc>
          <w:tcPr>
            <w:tcW w:w="1571" w:type="dxa"/>
            <w:tcBorders>
              <w:top w:val="nil"/>
              <w:left w:val="nil"/>
              <w:bottom w:val="nil"/>
              <w:right w:val="single" w:sz="12" w:space="0" w:color="auto"/>
            </w:tcBorders>
            <w:shd w:val="clear" w:color="auto" w:fill="auto"/>
            <w:noWrap/>
            <w:vAlign w:val="bottom"/>
            <w:hideMark/>
          </w:tcPr>
          <w:p w14:paraId="4DF91004" w14:textId="77777777" w:rsidR="006158A3" w:rsidRDefault="006158A3">
            <w:pPr>
              <w:jc w:val="center"/>
              <w:rPr>
                <w:rFonts w:ascii="Calibri" w:hAnsi="Calibri" w:cs="Calibri"/>
                <w:color w:val="000000"/>
                <w:sz w:val="22"/>
                <w:szCs w:val="22"/>
              </w:rPr>
            </w:pPr>
            <w:r>
              <w:rPr>
                <w:rFonts w:ascii="Calibri" w:hAnsi="Calibri" w:cs="Calibri"/>
                <w:color w:val="000000"/>
                <w:sz w:val="22"/>
                <w:szCs w:val="22"/>
              </w:rPr>
              <w:t>3.3%</w:t>
            </w:r>
          </w:p>
        </w:tc>
      </w:tr>
      <w:tr w:rsidR="006158A3" w14:paraId="4A2FD6F5" w14:textId="77777777" w:rsidTr="00C941E1">
        <w:trPr>
          <w:trHeight w:val="300"/>
        </w:trPr>
        <w:tc>
          <w:tcPr>
            <w:tcW w:w="3060" w:type="dxa"/>
            <w:tcBorders>
              <w:top w:val="nil"/>
              <w:left w:val="single" w:sz="12" w:space="0" w:color="auto"/>
              <w:bottom w:val="nil"/>
              <w:right w:val="nil"/>
            </w:tcBorders>
            <w:shd w:val="clear" w:color="auto" w:fill="auto"/>
            <w:noWrap/>
            <w:vAlign w:val="bottom"/>
            <w:hideMark/>
          </w:tcPr>
          <w:p w14:paraId="7A10C765" w14:textId="77777777" w:rsidR="006158A3" w:rsidRDefault="006158A3">
            <w:pPr>
              <w:rPr>
                <w:rFonts w:ascii="Calibri" w:hAnsi="Calibri" w:cs="Calibri"/>
                <w:color w:val="000000"/>
                <w:sz w:val="22"/>
                <w:szCs w:val="22"/>
              </w:rPr>
            </w:pPr>
            <w:r>
              <w:rPr>
                <w:rFonts w:ascii="Calibri" w:hAnsi="Calibri" w:cs="Calibri"/>
                <w:color w:val="000000"/>
                <w:sz w:val="22"/>
                <w:szCs w:val="22"/>
              </w:rPr>
              <w:t>White - Irish</w:t>
            </w:r>
          </w:p>
        </w:tc>
        <w:tc>
          <w:tcPr>
            <w:tcW w:w="1571" w:type="dxa"/>
            <w:tcBorders>
              <w:top w:val="nil"/>
              <w:left w:val="nil"/>
              <w:bottom w:val="nil"/>
              <w:right w:val="nil"/>
            </w:tcBorders>
            <w:shd w:val="clear" w:color="auto" w:fill="auto"/>
            <w:noWrap/>
            <w:vAlign w:val="bottom"/>
            <w:hideMark/>
          </w:tcPr>
          <w:p w14:paraId="70BE5FF4" w14:textId="77777777" w:rsidR="006158A3" w:rsidRDefault="006158A3">
            <w:pPr>
              <w:jc w:val="center"/>
              <w:rPr>
                <w:rFonts w:ascii="Calibri" w:hAnsi="Calibri" w:cs="Calibri"/>
                <w:color w:val="000000"/>
                <w:sz w:val="22"/>
                <w:szCs w:val="22"/>
              </w:rPr>
            </w:pPr>
            <w:r>
              <w:rPr>
                <w:rFonts w:ascii="Calibri" w:hAnsi="Calibri" w:cs="Calibri"/>
                <w:color w:val="000000"/>
                <w:sz w:val="22"/>
                <w:szCs w:val="22"/>
              </w:rPr>
              <w:t>66</w:t>
            </w:r>
          </w:p>
        </w:tc>
        <w:tc>
          <w:tcPr>
            <w:tcW w:w="1571" w:type="dxa"/>
            <w:tcBorders>
              <w:top w:val="nil"/>
              <w:left w:val="nil"/>
              <w:bottom w:val="nil"/>
              <w:right w:val="single" w:sz="12" w:space="0" w:color="auto"/>
            </w:tcBorders>
            <w:shd w:val="clear" w:color="auto" w:fill="auto"/>
            <w:noWrap/>
            <w:vAlign w:val="bottom"/>
            <w:hideMark/>
          </w:tcPr>
          <w:p w14:paraId="527413FE" w14:textId="77777777" w:rsidR="006158A3" w:rsidRDefault="006158A3">
            <w:pPr>
              <w:jc w:val="center"/>
              <w:rPr>
                <w:rFonts w:ascii="Calibri" w:hAnsi="Calibri" w:cs="Calibri"/>
                <w:color w:val="000000"/>
                <w:sz w:val="22"/>
                <w:szCs w:val="22"/>
              </w:rPr>
            </w:pPr>
            <w:r>
              <w:rPr>
                <w:rFonts w:ascii="Calibri" w:hAnsi="Calibri" w:cs="Calibri"/>
                <w:color w:val="000000"/>
                <w:sz w:val="22"/>
                <w:szCs w:val="22"/>
              </w:rPr>
              <w:t>2.8%</w:t>
            </w:r>
          </w:p>
        </w:tc>
      </w:tr>
      <w:tr w:rsidR="006158A3" w14:paraId="5DA25127" w14:textId="77777777" w:rsidTr="00C941E1">
        <w:trPr>
          <w:trHeight w:val="300"/>
        </w:trPr>
        <w:tc>
          <w:tcPr>
            <w:tcW w:w="3060" w:type="dxa"/>
            <w:tcBorders>
              <w:top w:val="nil"/>
              <w:left w:val="single" w:sz="12" w:space="0" w:color="auto"/>
              <w:bottom w:val="nil"/>
              <w:right w:val="nil"/>
            </w:tcBorders>
            <w:shd w:val="clear" w:color="auto" w:fill="auto"/>
            <w:noWrap/>
            <w:vAlign w:val="bottom"/>
            <w:hideMark/>
          </w:tcPr>
          <w:p w14:paraId="28564D1F" w14:textId="77777777" w:rsidR="006158A3" w:rsidRDefault="006158A3">
            <w:pPr>
              <w:rPr>
                <w:rFonts w:ascii="Calibri" w:hAnsi="Calibri" w:cs="Calibri"/>
                <w:color w:val="000000"/>
                <w:sz w:val="22"/>
                <w:szCs w:val="22"/>
              </w:rPr>
            </w:pPr>
            <w:r>
              <w:rPr>
                <w:rFonts w:ascii="Calibri" w:hAnsi="Calibri" w:cs="Calibri"/>
                <w:color w:val="000000"/>
                <w:sz w:val="22"/>
                <w:szCs w:val="22"/>
              </w:rPr>
              <w:t>White - Other</w:t>
            </w:r>
          </w:p>
        </w:tc>
        <w:tc>
          <w:tcPr>
            <w:tcW w:w="1571" w:type="dxa"/>
            <w:tcBorders>
              <w:top w:val="nil"/>
              <w:left w:val="nil"/>
              <w:bottom w:val="nil"/>
              <w:right w:val="nil"/>
            </w:tcBorders>
            <w:shd w:val="clear" w:color="auto" w:fill="auto"/>
            <w:noWrap/>
            <w:vAlign w:val="bottom"/>
            <w:hideMark/>
          </w:tcPr>
          <w:p w14:paraId="11D9691E" w14:textId="77777777" w:rsidR="006158A3" w:rsidRDefault="006158A3">
            <w:pPr>
              <w:jc w:val="center"/>
              <w:rPr>
                <w:rFonts w:ascii="Calibri" w:hAnsi="Calibri" w:cs="Calibri"/>
                <w:color w:val="000000"/>
                <w:sz w:val="22"/>
                <w:szCs w:val="22"/>
              </w:rPr>
            </w:pPr>
            <w:r>
              <w:rPr>
                <w:rFonts w:ascii="Calibri" w:hAnsi="Calibri" w:cs="Calibri"/>
                <w:color w:val="000000"/>
                <w:sz w:val="22"/>
                <w:szCs w:val="22"/>
              </w:rPr>
              <w:t>105</w:t>
            </w:r>
          </w:p>
        </w:tc>
        <w:tc>
          <w:tcPr>
            <w:tcW w:w="1571" w:type="dxa"/>
            <w:tcBorders>
              <w:top w:val="nil"/>
              <w:left w:val="nil"/>
              <w:bottom w:val="nil"/>
              <w:right w:val="single" w:sz="12" w:space="0" w:color="auto"/>
            </w:tcBorders>
            <w:shd w:val="clear" w:color="auto" w:fill="auto"/>
            <w:noWrap/>
            <w:vAlign w:val="bottom"/>
            <w:hideMark/>
          </w:tcPr>
          <w:p w14:paraId="5CA268FB" w14:textId="77777777" w:rsidR="006158A3" w:rsidRDefault="006158A3">
            <w:pPr>
              <w:jc w:val="center"/>
              <w:rPr>
                <w:rFonts w:ascii="Calibri" w:hAnsi="Calibri" w:cs="Calibri"/>
                <w:color w:val="000000"/>
                <w:sz w:val="22"/>
                <w:szCs w:val="22"/>
              </w:rPr>
            </w:pPr>
            <w:r>
              <w:rPr>
                <w:rFonts w:ascii="Calibri" w:hAnsi="Calibri" w:cs="Calibri"/>
                <w:color w:val="000000"/>
                <w:sz w:val="22"/>
                <w:szCs w:val="22"/>
              </w:rPr>
              <w:t>4.7%</w:t>
            </w:r>
          </w:p>
        </w:tc>
      </w:tr>
      <w:tr w:rsidR="006158A3" w14:paraId="10F0C3E5" w14:textId="77777777" w:rsidTr="00C941E1">
        <w:trPr>
          <w:trHeight w:val="300"/>
        </w:trPr>
        <w:tc>
          <w:tcPr>
            <w:tcW w:w="3060" w:type="dxa"/>
            <w:tcBorders>
              <w:top w:val="nil"/>
              <w:left w:val="single" w:sz="12" w:space="0" w:color="auto"/>
              <w:bottom w:val="nil"/>
              <w:right w:val="nil"/>
            </w:tcBorders>
            <w:shd w:val="clear" w:color="auto" w:fill="auto"/>
            <w:noWrap/>
            <w:vAlign w:val="bottom"/>
            <w:hideMark/>
          </w:tcPr>
          <w:p w14:paraId="37103B8E" w14:textId="77777777" w:rsidR="006158A3" w:rsidRDefault="006158A3">
            <w:pPr>
              <w:rPr>
                <w:rFonts w:ascii="Calibri" w:hAnsi="Calibri" w:cs="Calibri"/>
                <w:color w:val="000000"/>
                <w:sz w:val="22"/>
                <w:szCs w:val="22"/>
              </w:rPr>
            </w:pPr>
            <w:r>
              <w:rPr>
                <w:rFonts w:ascii="Calibri" w:hAnsi="Calibri" w:cs="Calibri"/>
                <w:color w:val="000000"/>
                <w:sz w:val="22"/>
                <w:szCs w:val="22"/>
              </w:rPr>
              <w:t>White - Polish</w:t>
            </w:r>
          </w:p>
        </w:tc>
        <w:tc>
          <w:tcPr>
            <w:tcW w:w="1571" w:type="dxa"/>
            <w:tcBorders>
              <w:top w:val="nil"/>
              <w:left w:val="nil"/>
              <w:bottom w:val="nil"/>
              <w:right w:val="nil"/>
            </w:tcBorders>
            <w:shd w:val="clear" w:color="auto" w:fill="auto"/>
            <w:noWrap/>
            <w:vAlign w:val="bottom"/>
            <w:hideMark/>
          </w:tcPr>
          <w:p w14:paraId="04C99021" w14:textId="77777777" w:rsidR="006158A3" w:rsidRDefault="006158A3">
            <w:pPr>
              <w:jc w:val="center"/>
              <w:rPr>
                <w:rFonts w:ascii="Calibri" w:hAnsi="Calibri" w:cs="Calibri"/>
                <w:color w:val="000000"/>
                <w:sz w:val="22"/>
                <w:szCs w:val="22"/>
              </w:rPr>
            </w:pPr>
            <w:r>
              <w:rPr>
                <w:rFonts w:ascii="Calibri" w:hAnsi="Calibri" w:cs="Calibri"/>
                <w:color w:val="000000"/>
                <w:sz w:val="22"/>
                <w:szCs w:val="22"/>
              </w:rPr>
              <w:t>10</w:t>
            </w:r>
          </w:p>
        </w:tc>
        <w:tc>
          <w:tcPr>
            <w:tcW w:w="1571" w:type="dxa"/>
            <w:tcBorders>
              <w:top w:val="nil"/>
              <w:left w:val="nil"/>
              <w:bottom w:val="nil"/>
              <w:right w:val="single" w:sz="12" w:space="0" w:color="auto"/>
            </w:tcBorders>
            <w:shd w:val="clear" w:color="auto" w:fill="auto"/>
            <w:noWrap/>
            <w:vAlign w:val="bottom"/>
            <w:hideMark/>
          </w:tcPr>
          <w:p w14:paraId="43AAF7C9" w14:textId="77777777" w:rsidR="006158A3" w:rsidRDefault="006158A3">
            <w:pPr>
              <w:jc w:val="center"/>
              <w:rPr>
                <w:rFonts w:ascii="Calibri" w:hAnsi="Calibri" w:cs="Calibri"/>
                <w:color w:val="000000"/>
                <w:sz w:val="22"/>
                <w:szCs w:val="22"/>
              </w:rPr>
            </w:pPr>
            <w:r>
              <w:rPr>
                <w:rFonts w:ascii="Calibri" w:hAnsi="Calibri" w:cs="Calibri"/>
                <w:color w:val="000000"/>
                <w:sz w:val="22"/>
                <w:szCs w:val="22"/>
              </w:rPr>
              <w:t>0.5%</w:t>
            </w:r>
          </w:p>
        </w:tc>
      </w:tr>
      <w:tr w:rsidR="006158A3" w14:paraId="612B9224" w14:textId="77777777" w:rsidTr="00C941E1">
        <w:trPr>
          <w:trHeight w:val="300"/>
        </w:trPr>
        <w:tc>
          <w:tcPr>
            <w:tcW w:w="3060" w:type="dxa"/>
            <w:tcBorders>
              <w:top w:val="nil"/>
              <w:left w:val="single" w:sz="12" w:space="0" w:color="auto"/>
              <w:bottom w:val="nil"/>
              <w:right w:val="nil"/>
            </w:tcBorders>
            <w:shd w:val="clear" w:color="auto" w:fill="auto"/>
            <w:noWrap/>
            <w:vAlign w:val="bottom"/>
            <w:hideMark/>
          </w:tcPr>
          <w:p w14:paraId="7F97F4EA" w14:textId="77777777" w:rsidR="006158A3" w:rsidRDefault="006158A3">
            <w:pPr>
              <w:rPr>
                <w:rFonts w:ascii="Calibri" w:hAnsi="Calibri" w:cs="Calibri"/>
                <w:color w:val="000000"/>
                <w:sz w:val="22"/>
                <w:szCs w:val="22"/>
              </w:rPr>
            </w:pPr>
            <w:r>
              <w:rPr>
                <w:rFonts w:ascii="Calibri" w:hAnsi="Calibri" w:cs="Calibri"/>
                <w:color w:val="000000"/>
                <w:sz w:val="22"/>
                <w:szCs w:val="22"/>
              </w:rPr>
              <w:t>White - Scottish or British</w:t>
            </w:r>
          </w:p>
        </w:tc>
        <w:tc>
          <w:tcPr>
            <w:tcW w:w="1571" w:type="dxa"/>
            <w:tcBorders>
              <w:top w:val="nil"/>
              <w:left w:val="nil"/>
              <w:bottom w:val="nil"/>
              <w:right w:val="nil"/>
            </w:tcBorders>
            <w:shd w:val="clear" w:color="auto" w:fill="auto"/>
            <w:noWrap/>
            <w:vAlign w:val="bottom"/>
            <w:hideMark/>
          </w:tcPr>
          <w:p w14:paraId="039BB537" w14:textId="77777777" w:rsidR="006158A3" w:rsidRDefault="006158A3">
            <w:pPr>
              <w:jc w:val="center"/>
              <w:rPr>
                <w:rFonts w:ascii="Calibri" w:hAnsi="Calibri" w:cs="Calibri"/>
                <w:color w:val="000000"/>
                <w:sz w:val="22"/>
                <w:szCs w:val="22"/>
              </w:rPr>
            </w:pPr>
            <w:r>
              <w:rPr>
                <w:rFonts w:ascii="Calibri" w:hAnsi="Calibri" w:cs="Calibri"/>
                <w:color w:val="000000"/>
                <w:sz w:val="22"/>
                <w:szCs w:val="22"/>
              </w:rPr>
              <w:t>1417</w:t>
            </w:r>
          </w:p>
        </w:tc>
        <w:tc>
          <w:tcPr>
            <w:tcW w:w="1571" w:type="dxa"/>
            <w:tcBorders>
              <w:top w:val="nil"/>
              <w:left w:val="nil"/>
              <w:bottom w:val="nil"/>
              <w:right w:val="single" w:sz="12" w:space="0" w:color="auto"/>
            </w:tcBorders>
            <w:shd w:val="clear" w:color="auto" w:fill="auto"/>
            <w:noWrap/>
            <w:vAlign w:val="bottom"/>
            <w:hideMark/>
          </w:tcPr>
          <w:p w14:paraId="0783AA5E" w14:textId="77777777" w:rsidR="006158A3" w:rsidRDefault="006158A3">
            <w:pPr>
              <w:jc w:val="center"/>
              <w:rPr>
                <w:rFonts w:ascii="Calibri" w:hAnsi="Calibri" w:cs="Calibri"/>
                <w:color w:val="000000"/>
                <w:sz w:val="22"/>
                <w:szCs w:val="22"/>
              </w:rPr>
            </w:pPr>
            <w:r>
              <w:rPr>
                <w:rFonts w:ascii="Calibri" w:hAnsi="Calibri" w:cs="Calibri"/>
                <w:color w:val="000000"/>
                <w:sz w:val="22"/>
                <w:szCs w:val="22"/>
              </w:rPr>
              <w:t>55.4%</w:t>
            </w:r>
          </w:p>
        </w:tc>
      </w:tr>
      <w:tr w:rsidR="006158A3" w14:paraId="7EB7DD6C" w14:textId="77777777" w:rsidTr="00C941E1">
        <w:trPr>
          <w:trHeight w:val="300"/>
        </w:trPr>
        <w:tc>
          <w:tcPr>
            <w:tcW w:w="3060" w:type="dxa"/>
            <w:tcBorders>
              <w:top w:val="single" w:sz="4" w:space="0" w:color="8EA9DB"/>
              <w:left w:val="single" w:sz="12" w:space="0" w:color="auto"/>
              <w:bottom w:val="single" w:sz="12" w:space="0" w:color="auto"/>
              <w:right w:val="nil"/>
            </w:tcBorders>
            <w:shd w:val="clear" w:color="D9E1F2" w:fill="D9E1F2"/>
            <w:noWrap/>
            <w:vAlign w:val="bottom"/>
            <w:hideMark/>
          </w:tcPr>
          <w:p w14:paraId="5F925F8B" w14:textId="77777777" w:rsidR="006158A3" w:rsidRDefault="006158A3">
            <w:pPr>
              <w:rPr>
                <w:rFonts w:ascii="Calibri" w:hAnsi="Calibri" w:cs="Calibri"/>
                <w:b/>
                <w:bCs/>
                <w:color w:val="000000"/>
                <w:sz w:val="22"/>
                <w:szCs w:val="22"/>
              </w:rPr>
            </w:pPr>
            <w:r>
              <w:rPr>
                <w:rFonts w:ascii="Calibri" w:hAnsi="Calibri" w:cs="Calibri"/>
                <w:b/>
                <w:bCs/>
                <w:color w:val="000000"/>
                <w:sz w:val="22"/>
                <w:szCs w:val="22"/>
              </w:rPr>
              <w:t>Grand Total</w:t>
            </w:r>
          </w:p>
        </w:tc>
        <w:tc>
          <w:tcPr>
            <w:tcW w:w="1571" w:type="dxa"/>
            <w:tcBorders>
              <w:top w:val="single" w:sz="4" w:space="0" w:color="8EA9DB"/>
              <w:left w:val="nil"/>
              <w:bottom w:val="single" w:sz="12" w:space="0" w:color="auto"/>
              <w:right w:val="nil"/>
            </w:tcBorders>
            <w:shd w:val="clear" w:color="D9E1F2" w:fill="D9E1F2"/>
            <w:noWrap/>
            <w:vAlign w:val="bottom"/>
            <w:hideMark/>
          </w:tcPr>
          <w:p w14:paraId="0D6849FD" w14:textId="77777777" w:rsidR="006158A3" w:rsidRDefault="006158A3">
            <w:pPr>
              <w:jc w:val="center"/>
              <w:rPr>
                <w:rFonts w:ascii="Calibri" w:hAnsi="Calibri" w:cs="Calibri"/>
                <w:b/>
                <w:bCs/>
                <w:color w:val="000000"/>
                <w:sz w:val="22"/>
                <w:szCs w:val="22"/>
              </w:rPr>
            </w:pPr>
            <w:r>
              <w:rPr>
                <w:rFonts w:ascii="Calibri" w:hAnsi="Calibri" w:cs="Calibri"/>
                <w:b/>
                <w:bCs/>
                <w:color w:val="000000"/>
                <w:sz w:val="22"/>
                <w:szCs w:val="22"/>
              </w:rPr>
              <w:t>2436</w:t>
            </w:r>
          </w:p>
        </w:tc>
        <w:tc>
          <w:tcPr>
            <w:tcW w:w="1571" w:type="dxa"/>
            <w:tcBorders>
              <w:top w:val="single" w:sz="4" w:space="0" w:color="8EA9DB"/>
              <w:left w:val="nil"/>
              <w:bottom w:val="single" w:sz="12" w:space="0" w:color="auto"/>
              <w:right w:val="single" w:sz="12" w:space="0" w:color="auto"/>
            </w:tcBorders>
            <w:shd w:val="clear" w:color="D9E1F2" w:fill="D9E1F2"/>
            <w:noWrap/>
            <w:vAlign w:val="bottom"/>
            <w:hideMark/>
          </w:tcPr>
          <w:p w14:paraId="74EB375D" w14:textId="77777777" w:rsidR="006158A3" w:rsidRDefault="006158A3">
            <w:pPr>
              <w:jc w:val="center"/>
              <w:rPr>
                <w:rFonts w:ascii="Calibri" w:hAnsi="Calibri" w:cs="Calibri"/>
                <w:b/>
                <w:bCs/>
                <w:color w:val="000000"/>
                <w:sz w:val="22"/>
                <w:szCs w:val="22"/>
              </w:rPr>
            </w:pPr>
            <w:r>
              <w:rPr>
                <w:rFonts w:ascii="Calibri" w:hAnsi="Calibri" w:cs="Calibri"/>
                <w:b/>
                <w:bCs/>
                <w:color w:val="000000"/>
                <w:sz w:val="22"/>
                <w:szCs w:val="22"/>
              </w:rPr>
              <w:t>100.0%</w:t>
            </w:r>
          </w:p>
        </w:tc>
      </w:tr>
    </w:tbl>
    <w:p w14:paraId="1742F6CA" w14:textId="77777777" w:rsidR="00640F09" w:rsidRDefault="00640F09" w:rsidP="00AF0A00">
      <w:pPr>
        <w:autoSpaceDE w:val="0"/>
        <w:autoSpaceDN w:val="0"/>
        <w:adjustRightInd w:val="0"/>
        <w:spacing w:line="360" w:lineRule="auto"/>
        <w:rPr>
          <w:rFonts w:ascii="Arial" w:eastAsia="Arial" w:hAnsi="Arial" w:cs="Arial"/>
          <w:color w:val="000000" w:themeColor="text1"/>
          <w:highlight w:val="yellow"/>
        </w:rPr>
      </w:pPr>
    </w:p>
    <w:p w14:paraId="3A02C6A0" w14:textId="21B82C43" w:rsidR="000437C1" w:rsidRDefault="000437C1" w:rsidP="00AF0A00">
      <w:pPr>
        <w:autoSpaceDE w:val="0"/>
        <w:autoSpaceDN w:val="0"/>
        <w:adjustRightInd w:val="0"/>
        <w:spacing w:line="360" w:lineRule="auto"/>
        <w:rPr>
          <w:rFonts w:ascii="Arial" w:eastAsia="Arial" w:hAnsi="Arial" w:cs="Arial"/>
          <w:color w:val="000000" w:themeColor="text1"/>
        </w:rPr>
      </w:pPr>
      <w:r w:rsidRPr="000437C1">
        <w:rPr>
          <w:rFonts w:ascii="Arial" w:eastAsia="Arial" w:hAnsi="Arial" w:cs="Arial"/>
          <w:color w:val="000000" w:themeColor="text1"/>
        </w:rPr>
        <w:t>Table</w:t>
      </w:r>
      <w:r w:rsidR="004F117C">
        <w:rPr>
          <w:rFonts w:ascii="Arial" w:eastAsia="Arial" w:hAnsi="Arial" w:cs="Arial"/>
          <w:color w:val="000000" w:themeColor="text1"/>
        </w:rPr>
        <w:t xml:space="preserve"> </w:t>
      </w:r>
      <w:r w:rsidR="002B619D">
        <w:rPr>
          <w:rFonts w:ascii="Arial" w:eastAsia="Arial" w:hAnsi="Arial" w:cs="Arial"/>
          <w:color w:val="000000" w:themeColor="text1"/>
        </w:rPr>
        <w:t>10</w:t>
      </w:r>
      <w:r w:rsidR="006306FE">
        <w:rPr>
          <w:rFonts w:ascii="Arial" w:eastAsia="Arial" w:hAnsi="Arial" w:cs="Arial"/>
          <w:color w:val="000000" w:themeColor="text1"/>
        </w:rPr>
        <w:t xml:space="preserve"> summarises the overall distribution of staff by ethnic categories by pay band. We have followed the guidance of the Coalition for Racial Equality and Rights, aggregating </w:t>
      </w:r>
      <w:r w:rsidR="000447A4">
        <w:rPr>
          <w:rFonts w:ascii="Arial" w:eastAsia="Arial" w:hAnsi="Arial" w:cs="Arial"/>
          <w:color w:val="000000" w:themeColor="text1"/>
        </w:rPr>
        <w:t xml:space="preserve">White Other into a category distinct from White Scottish and British to account for the effects of migration. </w:t>
      </w:r>
      <w:r w:rsidR="006B0FFF">
        <w:rPr>
          <w:rFonts w:ascii="Arial" w:eastAsia="Arial" w:hAnsi="Arial" w:cs="Arial"/>
          <w:color w:val="000000" w:themeColor="text1"/>
        </w:rPr>
        <w:t>We have also aggregated some pay bands to ensure anonymity where the overall numbers of staff are small.</w:t>
      </w:r>
      <w:r w:rsidR="00325A8B">
        <w:rPr>
          <w:rFonts w:ascii="Arial" w:eastAsia="Arial" w:hAnsi="Arial" w:cs="Arial"/>
          <w:color w:val="000000" w:themeColor="text1"/>
        </w:rPr>
        <w:t xml:space="preserve"> Table </w:t>
      </w:r>
      <w:r w:rsidR="002B619D">
        <w:rPr>
          <w:rFonts w:ascii="Arial" w:eastAsia="Arial" w:hAnsi="Arial" w:cs="Arial"/>
          <w:color w:val="000000" w:themeColor="text1"/>
        </w:rPr>
        <w:t>10</w:t>
      </w:r>
      <w:r w:rsidR="00325A8B">
        <w:rPr>
          <w:rFonts w:ascii="Arial" w:eastAsia="Arial" w:hAnsi="Arial" w:cs="Arial"/>
          <w:color w:val="000000" w:themeColor="text1"/>
        </w:rPr>
        <w:t xml:space="preserve"> </w:t>
      </w:r>
      <w:r w:rsidR="003516D0">
        <w:rPr>
          <w:rFonts w:ascii="Arial" w:eastAsia="Arial" w:hAnsi="Arial" w:cs="Arial"/>
          <w:color w:val="000000" w:themeColor="text1"/>
        </w:rPr>
        <w:t>particularly highlights the over-representation of Black, Asian and other minority ethnic staff in the lowest pay grades</w:t>
      </w:r>
      <w:r w:rsidR="00081BC0">
        <w:rPr>
          <w:rFonts w:ascii="Arial" w:eastAsia="Arial" w:hAnsi="Arial" w:cs="Arial"/>
          <w:color w:val="000000" w:themeColor="text1"/>
        </w:rPr>
        <w:t xml:space="preserve"> relative to their white counterparts</w:t>
      </w:r>
      <w:r w:rsidR="003516D0">
        <w:rPr>
          <w:rFonts w:ascii="Arial" w:eastAsia="Arial" w:hAnsi="Arial" w:cs="Arial"/>
          <w:color w:val="000000" w:themeColor="text1"/>
        </w:rPr>
        <w:t xml:space="preserve"> (bands</w:t>
      </w:r>
      <w:r w:rsidR="00350A23">
        <w:rPr>
          <w:rFonts w:ascii="Arial" w:eastAsia="Arial" w:hAnsi="Arial" w:cs="Arial"/>
          <w:color w:val="000000" w:themeColor="text1"/>
        </w:rPr>
        <w:t xml:space="preserve"> 2-4) and the absence of Black, Asian and other minority ethnic representation in the </w:t>
      </w:r>
      <w:r w:rsidR="002A0334">
        <w:rPr>
          <w:rFonts w:ascii="Arial" w:eastAsia="Arial" w:hAnsi="Arial" w:cs="Arial"/>
          <w:color w:val="000000" w:themeColor="text1"/>
        </w:rPr>
        <w:t xml:space="preserve">Band 9 and executive management cohort. Black, Asian and other minority ethnic staff are </w:t>
      </w:r>
      <w:r w:rsidR="00B43F66">
        <w:rPr>
          <w:rFonts w:ascii="Arial" w:eastAsia="Arial" w:hAnsi="Arial" w:cs="Arial"/>
          <w:color w:val="000000" w:themeColor="text1"/>
        </w:rPr>
        <w:t xml:space="preserve">represented </w:t>
      </w:r>
      <w:r w:rsidR="002A0334">
        <w:rPr>
          <w:rFonts w:ascii="Arial" w:eastAsia="Arial" w:hAnsi="Arial" w:cs="Arial"/>
          <w:color w:val="000000" w:themeColor="text1"/>
        </w:rPr>
        <w:t>in medicine</w:t>
      </w:r>
      <w:r w:rsidR="00B43F66">
        <w:rPr>
          <w:rFonts w:ascii="Arial" w:eastAsia="Arial" w:hAnsi="Arial" w:cs="Arial"/>
          <w:color w:val="000000" w:themeColor="text1"/>
        </w:rPr>
        <w:t xml:space="preserve"> at a higher rate than among the general Scottish population</w:t>
      </w:r>
      <w:r w:rsidR="00E90616">
        <w:rPr>
          <w:rFonts w:ascii="Arial" w:eastAsia="Arial" w:hAnsi="Arial" w:cs="Arial"/>
          <w:color w:val="000000" w:themeColor="text1"/>
        </w:rPr>
        <w:t xml:space="preserve">, particularly among Doctors in Training and Fellows, and </w:t>
      </w:r>
      <w:r w:rsidR="000218AE">
        <w:rPr>
          <w:rFonts w:ascii="Arial" w:eastAsia="Arial" w:hAnsi="Arial" w:cs="Arial"/>
          <w:color w:val="000000" w:themeColor="text1"/>
        </w:rPr>
        <w:t>have some representation in senior medical educator roles</w:t>
      </w:r>
      <w:r w:rsidR="000218AE">
        <w:rPr>
          <w:rStyle w:val="FootnoteReference"/>
          <w:rFonts w:ascii="Arial" w:eastAsia="Arial" w:hAnsi="Arial" w:cs="Arial"/>
          <w:color w:val="000000" w:themeColor="text1"/>
        </w:rPr>
        <w:footnoteReference w:id="17"/>
      </w:r>
      <w:r w:rsidR="000218AE">
        <w:rPr>
          <w:rFonts w:ascii="Arial" w:eastAsia="Arial" w:hAnsi="Arial" w:cs="Arial"/>
          <w:color w:val="000000" w:themeColor="text1"/>
        </w:rPr>
        <w:t>.</w:t>
      </w:r>
    </w:p>
    <w:p w14:paraId="3186C7FA" w14:textId="1AB2A028" w:rsidR="00624788" w:rsidRDefault="00624788" w:rsidP="00AF0A00">
      <w:pPr>
        <w:autoSpaceDE w:val="0"/>
        <w:autoSpaceDN w:val="0"/>
        <w:adjustRightInd w:val="0"/>
        <w:spacing w:line="360" w:lineRule="auto"/>
        <w:rPr>
          <w:rFonts w:ascii="Arial" w:eastAsia="Arial" w:hAnsi="Arial" w:cs="Arial"/>
          <w:color w:val="000000" w:themeColor="text1"/>
        </w:rPr>
      </w:pPr>
    </w:p>
    <w:p w14:paraId="51B6EC4E" w14:textId="71945B01" w:rsidR="00624788" w:rsidRDefault="00624788" w:rsidP="00AF0A00">
      <w:pPr>
        <w:autoSpaceDE w:val="0"/>
        <w:autoSpaceDN w:val="0"/>
        <w:adjustRightInd w:val="0"/>
        <w:spacing w:line="360" w:lineRule="auto"/>
        <w:rPr>
          <w:rFonts w:ascii="Arial" w:eastAsia="Arial" w:hAnsi="Arial" w:cs="Arial"/>
          <w:color w:val="000000" w:themeColor="text1"/>
        </w:rPr>
      </w:pPr>
    </w:p>
    <w:p w14:paraId="63741A11" w14:textId="7818DCCF" w:rsidR="00624788" w:rsidRDefault="00624788" w:rsidP="00AF0A00">
      <w:pPr>
        <w:autoSpaceDE w:val="0"/>
        <w:autoSpaceDN w:val="0"/>
        <w:adjustRightInd w:val="0"/>
        <w:spacing w:line="360" w:lineRule="auto"/>
        <w:rPr>
          <w:rFonts w:ascii="Arial" w:eastAsia="Arial" w:hAnsi="Arial" w:cs="Arial"/>
          <w:color w:val="000000" w:themeColor="text1"/>
        </w:rPr>
      </w:pPr>
    </w:p>
    <w:p w14:paraId="6CDBDAD9" w14:textId="4967952B" w:rsidR="00624788" w:rsidRDefault="00624788" w:rsidP="00AF0A00">
      <w:pPr>
        <w:autoSpaceDE w:val="0"/>
        <w:autoSpaceDN w:val="0"/>
        <w:adjustRightInd w:val="0"/>
        <w:spacing w:line="360" w:lineRule="auto"/>
        <w:rPr>
          <w:rFonts w:ascii="Arial" w:eastAsia="Arial" w:hAnsi="Arial" w:cs="Arial"/>
          <w:color w:val="000000" w:themeColor="text1"/>
        </w:rPr>
      </w:pPr>
    </w:p>
    <w:p w14:paraId="25D26079" w14:textId="77777777" w:rsidR="00624788" w:rsidRDefault="00624788" w:rsidP="00AF0A00">
      <w:pPr>
        <w:autoSpaceDE w:val="0"/>
        <w:autoSpaceDN w:val="0"/>
        <w:adjustRightInd w:val="0"/>
        <w:spacing w:line="360" w:lineRule="auto"/>
        <w:rPr>
          <w:rFonts w:ascii="Arial" w:eastAsia="Arial" w:hAnsi="Arial" w:cs="Arial"/>
          <w:color w:val="000000" w:themeColor="text1"/>
        </w:rPr>
      </w:pPr>
    </w:p>
    <w:p w14:paraId="25D1192B" w14:textId="760F06A0" w:rsidR="00FE5A47" w:rsidRPr="00AE3321" w:rsidRDefault="00A414E1" w:rsidP="00AE3321">
      <w:pPr>
        <w:autoSpaceDE w:val="0"/>
        <w:autoSpaceDN w:val="0"/>
        <w:adjustRightInd w:val="0"/>
        <w:spacing w:line="360" w:lineRule="auto"/>
        <w:ind w:left="142"/>
        <w:rPr>
          <w:rFonts w:ascii="Arial" w:eastAsia="Arial" w:hAnsi="Arial" w:cs="Arial"/>
          <w:color w:val="000000" w:themeColor="text1"/>
        </w:rPr>
      </w:pPr>
      <w:r w:rsidRPr="00AE3321">
        <w:rPr>
          <w:rFonts w:ascii="Arial" w:eastAsia="Arial" w:hAnsi="Arial" w:cs="Arial"/>
          <w:color w:val="000000" w:themeColor="text1"/>
        </w:rPr>
        <w:t>Table 1</w:t>
      </w:r>
      <w:r w:rsidR="002B6AEC" w:rsidRPr="00AE3321">
        <w:rPr>
          <w:rFonts w:ascii="Arial" w:eastAsia="Arial" w:hAnsi="Arial" w:cs="Arial"/>
          <w:color w:val="000000" w:themeColor="text1"/>
        </w:rPr>
        <w:t>0</w:t>
      </w:r>
      <w:r w:rsidRPr="00AE3321">
        <w:rPr>
          <w:rFonts w:ascii="Arial" w:eastAsia="Arial" w:hAnsi="Arial" w:cs="Arial"/>
          <w:color w:val="000000" w:themeColor="text1"/>
        </w:rPr>
        <w:t xml:space="preserve">: </w:t>
      </w:r>
      <w:r w:rsidR="00C90B8A" w:rsidRPr="00AE3321">
        <w:rPr>
          <w:rFonts w:ascii="Arial" w:eastAsia="Arial" w:hAnsi="Arial" w:cs="Arial"/>
          <w:color w:val="000000" w:themeColor="text1"/>
        </w:rPr>
        <w:t>Vertical Occupational Segregation by</w:t>
      </w:r>
      <w:r w:rsidRPr="00AE3321">
        <w:rPr>
          <w:rFonts w:ascii="Arial" w:eastAsia="Arial" w:hAnsi="Arial" w:cs="Arial"/>
          <w:color w:val="000000" w:themeColor="text1"/>
        </w:rPr>
        <w:t xml:space="preserve"> Ethnic Group</w:t>
      </w:r>
    </w:p>
    <w:tbl>
      <w:tblPr>
        <w:tblW w:w="9332" w:type="dxa"/>
        <w:tblInd w:w="108" w:type="dxa"/>
        <w:tblLayout w:type="fixed"/>
        <w:tblLook w:val="04A0" w:firstRow="1" w:lastRow="0" w:firstColumn="1" w:lastColumn="0" w:noHBand="0" w:noVBand="1"/>
      </w:tblPr>
      <w:tblGrid>
        <w:gridCol w:w="3436"/>
        <w:gridCol w:w="737"/>
        <w:gridCol w:w="737"/>
        <w:gridCol w:w="737"/>
        <w:gridCol w:w="737"/>
        <w:gridCol w:w="737"/>
        <w:gridCol w:w="737"/>
        <w:gridCol w:w="737"/>
        <w:gridCol w:w="737"/>
      </w:tblGrid>
      <w:tr w:rsidR="00841552" w14:paraId="3E42B18F" w14:textId="7CCD34FD" w:rsidTr="004F4F3C">
        <w:trPr>
          <w:trHeight w:val="300"/>
        </w:trPr>
        <w:tc>
          <w:tcPr>
            <w:tcW w:w="3436" w:type="dxa"/>
            <w:tcBorders>
              <w:top w:val="nil"/>
              <w:left w:val="nil"/>
              <w:right w:val="nil"/>
            </w:tcBorders>
            <w:shd w:val="clear" w:color="D9E1F2" w:fill="D9E1F2"/>
            <w:noWrap/>
            <w:hideMark/>
          </w:tcPr>
          <w:p w14:paraId="3C707A96" w14:textId="77777777" w:rsidR="00841552" w:rsidRDefault="00841552" w:rsidP="003F5613">
            <w:pPr>
              <w:rPr>
                <w:sz w:val="20"/>
                <w:szCs w:val="20"/>
              </w:rPr>
            </w:pPr>
            <w:r>
              <w:rPr>
                <w:rFonts w:ascii="Calibri" w:hAnsi="Calibri" w:cs="Calibri"/>
                <w:b/>
                <w:bCs/>
                <w:color w:val="000000"/>
                <w:sz w:val="22"/>
                <w:szCs w:val="22"/>
              </w:rPr>
              <w:t>Ethnic Group</w:t>
            </w:r>
          </w:p>
        </w:tc>
        <w:tc>
          <w:tcPr>
            <w:tcW w:w="1474" w:type="dxa"/>
            <w:gridSpan w:val="2"/>
            <w:tcBorders>
              <w:top w:val="nil"/>
              <w:left w:val="nil"/>
              <w:bottom w:val="nil"/>
              <w:right w:val="nil"/>
            </w:tcBorders>
            <w:shd w:val="clear" w:color="D9E1F2" w:fill="D9E1F2"/>
            <w:noWrap/>
            <w:vAlign w:val="bottom"/>
            <w:hideMark/>
          </w:tcPr>
          <w:p w14:paraId="51CE00A2" w14:textId="694CC141" w:rsidR="00841552" w:rsidRPr="00841552" w:rsidRDefault="00841552" w:rsidP="004F4F3C">
            <w:pPr>
              <w:jc w:val="center"/>
              <w:rPr>
                <w:rFonts w:ascii="Calibri" w:hAnsi="Calibri" w:cs="Calibri"/>
                <w:b/>
                <w:bCs/>
                <w:color w:val="000000"/>
                <w:sz w:val="20"/>
                <w:szCs w:val="20"/>
              </w:rPr>
            </w:pPr>
            <w:r w:rsidRPr="00841552">
              <w:rPr>
                <w:rFonts w:ascii="Calibri" w:hAnsi="Calibri" w:cs="Calibri"/>
                <w:b/>
                <w:bCs/>
                <w:color w:val="000000"/>
                <w:sz w:val="20"/>
                <w:szCs w:val="20"/>
              </w:rPr>
              <w:t>White - Scottish and British</w:t>
            </w:r>
          </w:p>
        </w:tc>
        <w:tc>
          <w:tcPr>
            <w:tcW w:w="1474" w:type="dxa"/>
            <w:gridSpan w:val="2"/>
            <w:tcBorders>
              <w:top w:val="nil"/>
              <w:left w:val="nil"/>
              <w:bottom w:val="nil"/>
              <w:right w:val="nil"/>
            </w:tcBorders>
            <w:shd w:val="clear" w:color="D9E1F2" w:fill="D9E1F2"/>
            <w:noWrap/>
            <w:vAlign w:val="bottom"/>
            <w:hideMark/>
          </w:tcPr>
          <w:p w14:paraId="68328497" w14:textId="54C2D12D" w:rsidR="00841552" w:rsidRPr="00841552" w:rsidRDefault="00841552" w:rsidP="004F4F3C">
            <w:pPr>
              <w:jc w:val="center"/>
              <w:rPr>
                <w:rFonts w:ascii="Calibri" w:hAnsi="Calibri" w:cs="Calibri"/>
                <w:b/>
                <w:bCs/>
                <w:color w:val="000000"/>
                <w:sz w:val="20"/>
                <w:szCs w:val="20"/>
              </w:rPr>
            </w:pPr>
            <w:r w:rsidRPr="00841552">
              <w:rPr>
                <w:rFonts w:ascii="Calibri" w:hAnsi="Calibri" w:cs="Calibri"/>
                <w:b/>
                <w:bCs/>
                <w:color w:val="000000"/>
                <w:sz w:val="20"/>
                <w:szCs w:val="20"/>
              </w:rPr>
              <w:t>White Other</w:t>
            </w:r>
          </w:p>
        </w:tc>
        <w:tc>
          <w:tcPr>
            <w:tcW w:w="1474" w:type="dxa"/>
            <w:gridSpan w:val="2"/>
            <w:tcBorders>
              <w:top w:val="nil"/>
              <w:left w:val="nil"/>
              <w:bottom w:val="nil"/>
              <w:right w:val="nil"/>
            </w:tcBorders>
            <w:shd w:val="clear" w:color="D9E1F2" w:fill="D9E1F2"/>
            <w:noWrap/>
            <w:vAlign w:val="bottom"/>
            <w:hideMark/>
          </w:tcPr>
          <w:p w14:paraId="5CD5D554" w14:textId="00CB26B2" w:rsidR="00841552" w:rsidRPr="00841552" w:rsidRDefault="00841552" w:rsidP="004F4F3C">
            <w:pPr>
              <w:jc w:val="center"/>
              <w:rPr>
                <w:rFonts w:ascii="Calibri" w:hAnsi="Calibri" w:cs="Calibri"/>
                <w:b/>
                <w:bCs/>
                <w:color w:val="000000"/>
                <w:sz w:val="20"/>
                <w:szCs w:val="20"/>
              </w:rPr>
            </w:pPr>
            <w:r w:rsidRPr="00841552">
              <w:rPr>
                <w:rFonts w:ascii="Calibri" w:hAnsi="Calibri" w:cs="Calibri"/>
                <w:b/>
                <w:bCs/>
                <w:color w:val="000000"/>
                <w:sz w:val="20"/>
                <w:szCs w:val="20"/>
              </w:rPr>
              <w:t>BAME</w:t>
            </w:r>
          </w:p>
        </w:tc>
        <w:tc>
          <w:tcPr>
            <w:tcW w:w="1474" w:type="dxa"/>
            <w:gridSpan w:val="2"/>
            <w:tcBorders>
              <w:top w:val="nil"/>
              <w:left w:val="nil"/>
              <w:bottom w:val="nil"/>
              <w:right w:val="nil"/>
            </w:tcBorders>
            <w:shd w:val="clear" w:color="D9E1F2" w:fill="D9E1F2"/>
            <w:noWrap/>
            <w:vAlign w:val="bottom"/>
            <w:hideMark/>
          </w:tcPr>
          <w:p w14:paraId="6776B72F" w14:textId="45EE8947" w:rsidR="00841552" w:rsidRPr="00841552" w:rsidRDefault="00841552" w:rsidP="004F4F3C">
            <w:pPr>
              <w:jc w:val="center"/>
              <w:rPr>
                <w:rFonts w:ascii="Calibri" w:hAnsi="Calibri" w:cs="Calibri"/>
                <w:b/>
                <w:bCs/>
                <w:color w:val="000000"/>
                <w:sz w:val="20"/>
                <w:szCs w:val="20"/>
              </w:rPr>
            </w:pPr>
            <w:r w:rsidRPr="00841552">
              <w:rPr>
                <w:rFonts w:ascii="Calibri" w:hAnsi="Calibri" w:cs="Calibri"/>
                <w:b/>
                <w:bCs/>
                <w:color w:val="000000"/>
                <w:sz w:val="20"/>
                <w:szCs w:val="20"/>
              </w:rPr>
              <w:t>Prefer not to say</w:t>
            </w:r>
            <w:r w:rsidR="00D60F6B">
              <w:rPr>
                <w:rFonts w:ascii="Calibri" w:hAnsi="Calibri" w:cs="Calibri"/>
                <w:b/>
                <w:bCs/>
                <w:color w:val="000000"/>
                <w:sz w:val="20"/>
                <w:szCs w:val="20"/>
              </w:rPr>
              <w:t xml:space="preserve"> / Don’t know</w:t>
            </w:r>
          </w:p>
        </w:tc>
      </w:tr>
      <w:tr w:rsidR="00841552" w14:paraId="1D3E3F79" w14:textId="77777777" w:rsidTr="004F4F3C">
        <w:trPr>
          <w:trHeight w:val="300"/>
        </w:trPr>
        <w:tc>
          <w:tcPr>
            <w:tcW w:w="3436" w:type="dxa"/>
            <w:tcBorders>
              <w:top w:val="nil"/>
              <w:left w:val="nil"/>
              <w:right w:val="nil"/>
            </w:tcBorders>
            <w:shd w:val="clear" w:color="D9E1F2" w:fill="D9E1F2"/>
            <w:noWrap/>
          </w:tcPr>
          <w:p w14:paraId="298F6A5C" w14:textId="77777777" w:rsidR="00841552" w:rsidRDefault="00841552" w:rsidP="003F5613">
            <w:pPr>
              <w:rPr>
                <w:rFonts w:ascii="Calibri" w:hAnsi="Calibri" w:cs="Calibri"/>
                <w:b/>
                <w:bCs/>
                <w:color w:val="000000"/>
                <w:sz w:val="22"/>
                <w:szCs w:val="22"/>
              </w:rPr>
            </w:pPr>
          </w:p>
        </w:tc>
        <w:tc>
          <w:tcPr>
            <w:tcW w:w="737" w:type="dxa"/>
            <w:tcBorders>
              <w:top w:val="nil"/>
              <w:left w:val="nil"/>
              <w:bottom w:val="nil"/>
              <w:right w:val="nil"/>
            </w:tcBorders>
            <w:shd w:val="clear" w:color="D9E1F2" w:fill="D9E1F2"/>
            <w:noWrap/>
            <w:vAlign w:val="bottom"/>
          </w:tcPr>
          <w:p w14:paraId="7DF00D48" w14:textId="03CA1A52" w:rsidR="00841552" w:rsidRPr="00841552" w:rsidRDefault="004F4F3C" w:rsidP="004F4F3C">
            <w:pPr>
              <w:jc w:val="center"/>
              <w:rPr>
                <w:rFonts w:ascii="Calibri" w:hAnsi="Calibri" w:cs="Calibri"/>
                <w:b/>
                <w:bCs/>
                <w:color w:val="000000"/>
                <w:sz w:val="18"/>
                <w:szCs w:val="18"/>
              </w:rPr>
            </w:pPr>
            <w:r>
              <w:rPr>
                <w:rFonts w:ascii="Calibri" w:hAnsi="Calibri" w:cs="Calibri"/>
                <w:b/>
                <w:bCs/>
                <w:color w:val="000000"/>
                <w:sz w:val="18"/>
                <w:szCs w:val="18"/>
              </w:rPr>
              <w:t>N</w:t>
            </w:r>
          </w:p>
        </w:tc>
        <w:tc>
          <w:tcPr>
            <w:tcW w:w="737" w:type="dxa"/>
            <w:tcBorders>
              <w:top w:val="nil"/>
              <w:left w:val="nil"/>
              <w:bottom w:val="nil"/>
              <w:right w:val="nil"/>
            </w:tcBorders>
            <w:shd w:val="clear" w:color="D9E1F2" w:fill="D9E1F2"/>
            <w:vAlign w:val="bottom"/>
          </w:tcPr>
          <w:p w14:paraId="7D3A7664" w14:textId="7B6069CB" w:rsidR="00841552" w:rsidRPr="00841552" w:rsidRDefault="004F4F3C" w:rsidP="004F4F3C">
            <w:pPr>
              <w:jc w:val="center"/>
              <w:rPr>
                <w:rFonts w:ascii="Calibri" w:hAnsi="Calibri" w:cs="Calibri"/>
                <w:b/>
                <w:bCs/>
                <w:color w:val="000000"/>
                <w:sz w:val="18"/>
                <w:szCs w:val="18"/>
              </w:rPr>
            </w:pPr>
            <w:r>
              <w:rPr>
                <w:rFonts w:ascii="Calibri" w:hAnsi="Calibri" w:cs="Calibri"/>
                <w:b/>
                <w:bCs/>
                <w:color w:val="000000"/>
                <w:sz w:val="18"/>
                <w:szCs w:val="18"/>
              </w:rPr>
              <w:t>%</w:t>
            </w:r>
          </w:p>
        </w:tc>
        <w:tc>
          <w:tcPr>
            <w:tcW w:w="737" w:type="dxa"/>
            <w:tcBorders>
              <w:top w:val="nil"/>
              <w:left w:val="nil"/>
              <w:bottom w:val="nil"/>
              <w:right w:val="nil"/>
            </w:tcBorders>
            <w:shd w:val="clear" w:color="D9E1F2" w:fill="D9E1F2"/>
            <w:noWrap/>
            <w:vAlign w:val="bottom"/>
          </w:tcPr>
          <w:p w14:paraId="46DCE89E" w14:textId="3CC77ED1" w:rsidR="00841552" w:rsidRPr="00841552" w:rsidRDefault="004F4F3C" w:rsidP="004F4F3C">
            <w:pPr>
              <w:jc w:val="center"/>
              <w:rPr>
                <w:rFonts w:ascii="Calibri" w:hAnsi="Calibri" w:cs="Calibri"/>
                <w:b/>
                <w:bCs/>
                <w:color w:val="000000"/>
                <w:sz w:val="18"/>
                <w:szCs w:val="18"/>
              </w:rPr>
            </w:pPr>
            <w:r>
              <w:rPr>
                <w:rFonts w:ascii="Calibri" w:hAnsi="Calibri" w:cs="Calibri"/>
                <w:b/>
                <w:bCs/>
                <w:color w:val="000000"/>
                <w:sz w:val="18"/>
                <w:szCs w:val="18"/>
              </w:rPr>
              <w:t>N</w:t>
            </w:r>
          </w:p>
        </w:tc>
        <w:tc>
          <w:tcPr>
            <w:tcW w:w="737" w:type="dxa"/>
            <w:tcBorders>
              <w:top w:val="nil"/>
              <w:left w:val="nil"/>
              <w:bottom w:val="nil"/>
              <w:right w:val="nil"/>
            </w:tcBorders>
            <w:shd w:val="clear" w:color="D9E1F2" w:fill="D9E1F2"/>
            <w:vAlign w:val="bottom"/>
          </w:tcPr>
          <w:p w14:paraId="23D4CCD8" w14:textId="4C58EB52" w:rsidR="00841552" w:rsidRPr="00841552" w:rsidRDefault="004F4F3C" w:rsidP="004F4F3C">
            <w:pPr>
              <w:jc w:val="center"/>
              <w:rPr>
                <w:rFonts w:ascii="Calibri" w:hAnsi="Calibri" w:cs="Calibri"/>
                <w:b/>
                <w:bCs/>
                <w:color w:val="000000"/>
                <w:sz w:val="18"/>
                <w:szCs w:val="18"/>
              </w:rPr>
            </w:pPr>
            <w:r>
              <w:rPr>
                <w:rFonts w:ascii="Calibri" w:hAnsi="Calibri" w:cs="Calibri"/>
                <w:b/>
                <w:bCs/>
                <w:color w:val="000000"/>
                <w:sz w:val="18"/>
                <w:szCs w:val="18"/>
              </w:rPr>
              <w:t>%</w:t>
            </w:r>
          </w:p>
        </w:tc>
        <w:tc>
          <w:tcPr>
            <w:tcW w:w="737" w:type="dxa"/>
            <w:tcBorders>
              <w:top w:val="nil"/>
              <w:left w:val="nil"/>
              <w:bottom w:val="nil"/>
              <w:right w:val="nil"/>
            </w:tcBorders>
            <w:shd w:val="clear" w:color="D9E1F2" w:fill="D9E1F2"/>
            <w:noWrap/>
            <w:vAlign w:val="bottom"/>
          </w:tcPr>
          <w:p w14:paraId="35C32CF9" w14:textId="0A488900" w:rsidR="00841552" w:rsidRPr="00841552" w:rsidRDefault="004F4F3C" w:rsidP="004F4F3C">
            <w:pPr>
              <w:jc w:val="center"/>
              <w:rPr>
                <w:rFonts w:ascii="Calibri" w:hAnsi="Calibri" w:cs="Calibri"/>
                <w:b/>
                <w:bCs/>
                <w:color w:val="000000"/>
                <w:sz w:val="18"/>
                <w:szCs w:val="18"/>
              </w:rPr>
            </w:pPr>
            <w:r>
              <w:rPr>
                <w:rFonts w:ascii="Calibri" w:hAnsi="Calibri" w:cs="Calibri"/>
                <w:b/>
                <w:bCs/>
                <w:color w:val="000000"/>
                <w:sz w:val="18"/>
                <w:szCs w:val="18"/>
              </w:rPr>
              <w:t>N</w:t>
            </w:r>
          </w:p>
        </w:tc>
        <w:tc>
          <w:tcPr>
            <w:tcW w:w="737" w:type="dxa"/>
            <w:tcBorders>
              <w:top w:val="nil"/>
              <w:left w:val="nil"/>
              <w:bottom w:val="nil"/>
              <w:right w:val="nil"/>
            </w:tcBorders>
            <w:shd w:val="clear" w:color="D9E1F2" w:fill="D9E1F2"/>
            <w:vAlign w:val="bottom"/>
          </w:tcPr>
          <w:p w14:paraId="1BA11045" w14:textId="1BBC812C" w:rsidR="00841552" w:rsidRPr="00841552" w:rsidRDefault="004F4F3C" w:rsidP="004F4F3C">
            <w:pPr>
              <w:jc w:val="center"/>
              <w:rPr>
                <w:rFonts w:ascii="Calibri" w:hAnsi="Calibri" w:cs="Calibri"/>
                <w:b/>
                <w:bCs/>
                <w:color w:val="000000"/>
                <w:sz w:val="18"/>
                <w:szCs w:val="18"/>
              </w:rPr>
            </w:pPr>
            <w:r>
              <w:rPr>
                <w:rFonts w:ascii="Calibri" w:hAnsi="Calibri" w:cs="Calibri"/>
                <w:b/>
                <w:bCs/>
                <w:color w:val="000000"/>
                <w:sz w:val="18"/>
                <w:szCs w:val="18"/>
              </w:rPr>
              <w:t>%</w:t>
            </w:r>
          </w:p>
        </w:tc>
        <w:tc>
          <w:tcPr>
            <w:tcW w:w="737" w:type="dxa"/>
            <w:tcBorders>
              <w:top w:val="nil"/>
              <w:left w:val="nil"/>
              <w:bottom w:val="nil"/>
              <w:right w:val="nil"/>
            </w:tcBorders>
            <w:shd w:val="clear" w:color="D9E1F2" w:fill="D9E1F2"/>
            <w:noWrap/>
            <w:vAlign w:val="bottom"/>
          </w:tcPr>
          <w:p w14:paraId="0CF9E94E" w14:textId="29B422FE" w:rsidR="00841552" w:rsidRPr="00841552" w:rsidRDefault="004F4F3C" w:rsidP="004F4F3C">
            <w:pPr>
              <w:jc w:val="center"/>
              <w:rPr>
                <w:rFonts w:ascii="Calibri" w:hAnsi="Calibri" w:cs="Calibri"/>
                <w:b/>
                <w:bCs/>
                <w:color w:val="000000"/>
                <w:sz w:val="18"/>
                <w:szCs w:val="18"/>
              </w:rPr>
            </w:pPr>
            <w:r>
              <w:rPr>
                <w:rFonts w:ascii="Calibri" w:hAnsi="Calibri" w:cs="Calibri"/>
                <w:b/>
                <w:bCs/>
                <w:color w:val="000000"/>
                <w:sz w:val="18"/>
                <w:szCs w:val="18"/>
              </w:rPr>
              <w:t>N</w:t>
            </w:r>
          </w:p>
        </w:tc>
        <w:tc>
          <w:tcPr>
            <w:tcW w:w="737" w:type="dxa"/>
            <w:tcBorders>
              <w:top w:val="nil"/>
              <w:left w:val="nil"/>
              <w:bottom w:val="nil"/>
              <w:right w:val="nil"/>
            </w:tcBorders>
            <w:shd w:val="clear" w:color="D9E1F2" w:fill="D9E1F2"/>
            <w:vAlign w:val="bottom"/>
          </w:tcPr>
          <w:p w14:paraId="6A781EB0" w14:textId="7EAF31FA" w:rsidR="00841552" w:rsidRPr="00841552" w:rsidRDefault="004F4F3C" w:rsidP="004F4F3C">
            <w:pPr>
              <w:jc w:val="center"/>
              <w:rPr>
                <w:rFonts w:ascii="Calibri" w:hAnsi="Calibri" w:cs="Calibri"/>
                <w:b/>
                <w:bCs/>
                <w:color w:val="000000"/>
                <w:sz w:val="18"/>
                <w:szCs w:val="18"/>
              </w:rPr>
            </w:pPr>
            <w:r>
              <w:rPr>
                <w:rFonts w:ascii="Calibri" w:hAnsi="Calibri" w:cs="Calibri"/>
                <w:b/>
                <w:bCs/>
                <w:color w:val="000000"/>
                <w:sz w:val="18"/>
                <w:szCs w:val="18"/>
              </w:rPr>
              <w:t>%</w:t>
            </w:r>
          </w:p>
        </w:tc>
      </w:tr>
      <w:tr w:rsidR="009043FD" w14:paraId="72F7C2F1" w14:textId="677B7602" w:rsidTr="00556278">
        <w:trPr>
          <w:trHeight w:val="300"/>
        </w:trPr>
        <w:tc>
          <w:tcPr>
            <w:tcW w:w="3436" w:type="dxa"/>
            <w:tcBorders>
              <w:top w:val="nil"/>
              <w:left w:val="nil"/>
              <w:bottom w:val="single" w:sz="4" w:space="0" w:color="8EA9DB"/>
              <w:right w:val="nil"/>
            </w:tcBorders>
            <w:shd w:val="clear" w:color="auto" w:fill="auto"/>
            <w:noWrap/>
            <w:vAlign w:val="bottom"/>
            <w:hideMark/>
          </w:tcPr>
          <w:p w14:paraId="1FA29E75" w14:textId="77777777" w:rsidR="009043FD" w:rsidRPr="004F4F3C" w:rsidRDefault="009043FD" w:rsidP="009043FD">
            <w:pPr>
              <w:rPr>
                <w:rFonts w:ascii="Calibri" w:hAnsi="Calibri" w:cs="Calibri"/>
                <w:color w:val="000000"/>
                <w:sz w:val="20"/>
                <w:szCs w:val="20"/>
              </w:rPr>
            </w:pPr>
            <w:r w:rsidRPr="004F4F3C">
              <w:rPr>
                <w:rFonts w:ascii="Calibri" w:hAnsi="Calibri" w:cs="Calibri"/>
                <w:color w:val="000000"/>
                <w:sz w:val="20"/>
                <w:szCs w:val="20"/>
              </w:rPr>
              <w:t>Band 2-4</w:t>
            </w:r>
          </w:p>
        </w:tc>
        <w:tc>
          <w:tcPr>
            <w:tcW w:w="737" w:type="dxa"/>
            <w:tcBorders>
              <w:top w:val="nil"/>
              <w:left w:val="nil"/>
              <w:bottom w:val="single" w:sz="4" w:space="0" w:color="8EA9DB"/>
              <w:right w:val="nil"/>
            </w:tcBorders>
            <w:shd w:val="clear" w:color="auto" w:fill="auto"/>
            <w:noWrap/>
            <w:vAlign w:val="bottom"/>
          </w:tcPr>
          <w:p w14:paraId="3CA5AA5F" w14:textId="5AB99626" w:rsidR="009043FD" w:rsidRPr="004F4F3C" w:rsidRDefault="009B478E" w:rsidP="009043FD">
            <w:pPr>
              <w:jc w:val="center"/>
              <w:rPr>
                <w:rFonts w:ascii="Calibri" w:hAnsi="Calibri" w:cs="Calibri"/>
                <w:color w:val="000000"/>
                <w:sz w:val="20"/>
                <w:szCs w:val="20"/>
              </w:rPr>
            </w:pPr>
            <w:r>
              <w:rPr>
                <w:rFonts w:ascii="Calibri" w:hAnsi="Calibri" w:cs="Calibri"/>
                <w:color w:val="000000"/>
                <w:sz w:val="20"/>
                <w:szCs w:val="20"/>
              </w:rPr>
              <w:t>174</w:t>
            </w:r>
          </w:p>
        </w:tc>
        <w:tc>
          <w:tcPr>
            <w:tcW w:w="737" w:type="dxa"/>
            <w:tcBorders>
              <w:top w:val="nil"/>
              <w:left w:val="nil"/>
              <w:bottom w:val="single" w:sz="4" w:space="0" w:color="8EA9DB"/>
              <w:right w:val="nil"/>
            </w:tcBorders>
            <w:vAlign w:val="bottom"/>
          </w:tcPr>
          <w:p w14:paraId="03B4920C" w14:textId="3D817400" w:rsidR="009043FD" w:rsidRPr="004F4F3C" w:rsidRDefault="009043FD" w:rsidP="009043FD">
            <w:pPr>
              <w:jc w:val="center"/>
              <w:rPr>
                <w:rFonts w:ascii="Calibri" w:hAnsi="Calibri" w:cs="Calibri"/>
                <w:color w:val="000000"/>
                <w:sz w:val="20"/>
                <w:szCs w:val="20"/>
              </w:rPr>
            </w:pPr>
            <w:r w:rsidRPr="004F4F3C">
              <w:rPr>
                <w:rFonts w:ascii="Calibri" w:hAnsi="Calibri" w:cs="Calibri"/>
                <w:color w:val="000000"/>
                <w:sz w:val="20"/>
                <w:szCs w:val="20"/>
              </w:rPr>
              <w:t>86.6%</w:t>
            </w:r>
          </w:p>
        </w:tc>
        <w:tc>
          <w:tcPr>
            <w:tcW w:w="737" w:type="dxa"/>
            <w:tcBorders>
              <w:top w:val="nil"/>
              <w:left w:val="nil"/>
              <w:bottom w:val="single" w:sz="4" w:space="0" w:color="8EA9DB"/>
              <w:right w:val="nil"/>
            </w:tcBorders>
            <w:shd w:val="clear" w:color="auto" w:fill="auto"/>
            <w:noWrap/>
            <w:vAlign w:val="bottom"/>
          </w:tcPr>
          <w:p w14:paraId="3A85DD5F" w14:textId="64AB535A" w:rsidR="009043FD" w:rsidRPr="004F4F3C" w:rsidRDefault="00D936CF" w:rsidP="009043FD">
            <w:pPr>
              <w:jc w:val="center"/>
              <w:rPr>
                <w:rFonts w:ascii="Calibri" w:hAnsi="Calibri" w:cs="Calibri"/>
                <w:color w:val="000000"/>
                <w:sz w:val="20"/>
                <w:szCs w:val="20"/>
              </w:rPr>
            </w:pPr>
            <w:r>
              <w:rPr>
                <w:rFonts w:ascii="Calibri" w:hAnsi="Calibri" w:cs="Calibri"/>
                <w:color w:val="000000"/>
                <w:sz w:val="20"/>
                <w:szCs w:val="20"/>
              </w:rPr>
              <w:t>13</w:t>
            </w:r>
          </w:p>
        </w:tc>
        <w:tc>
          <w:tcPr>
            <w:tcW w:w="737" w:type="dxa"/>
            <w:tcBorders>
              <w:top w:val="nil"/>
              <w:left w:val="nil"/>
              <w:bottom w:val="single" w:sz="4" w:space="0" w:color="8EA9DB"/>
              <w:right w:val="nil"/>
            </w:tcBorders>
            <w:vAlign w:val="bottom"/>
          </w:tcPr>
          <w:p w14:paraId="706A033B" w14:textId="19679BAC" w:rsidR="009043FD" w:rsidRPr="004F4F3C" w:rsidRDefault="009043FD" w:rsidP="009043FD">
            <w:pPr>
              <w:jc w:val="center"/>
              <w:rPr>
                <w:rFonts w:ascii="Calibri" w:hAnsi="Calibri" w:cs="Calibri"/>
                <w:color w:val="000000"/>
                <w:sz w:val="20"/>
                <w:szCs w:val="20"/>
              </w:rPr>
            </w:pPr>
            <w:r w:rsidRPr="004F4F3C">
              <w:rPr>
                <w:rFonts w:ascii="Calibri" w:hAnsi="Calibri" w:cs="Calibri"/>
                <w:color w:val="000000"/>
                <w:sz w:val="20"/>
                <w:szCs w:val="20"/>
              </w:rPr>
              <w:t>6.5%</w:t>
            </w:r>
          </w:p>
        </w:tc>
        <w:tc>
          <w:tcPr>
            <w:tcW w:w="737" w:type="dxa"/>
            <w:tcBorders>
              <w:top w:val="nil"/>
              <w:left w:val="nil"/>
              <w:bottom w:val="single" w:sz="4" w:space="0" w:color="8EA9DB"/>
              <w:right w:val="nil"/>
            </w:tcBorders>
            <w:shd w:val="clear" w:color="auto" w:fill="auto"/>
            <w:noWrap/>
            <w:vAlign w:val="bottom"/>
          </w:tcPr>
          <w:p w14:paraId="3C8A5DB4" w14:textId="4141E90F" w:rsidR="009043FD" w:rsidRPr="004F4F3C" w:rsidRDefault="00280D17" w:rsidP="009043FD">
            <w:pPr>
              <w:jc w:val="center"/>
              <w:rPr>
                <w:rFonts w:ascii="Calibri" w:hAnsi="Calibri" w:cs="Calibri"/>
                <w:color w:val="000000"/>
                <w:sz w:val="20"/>
                <w:szCs w:val="20"/>
              </w:rPr>
            </w:pPr>
            <w:r>
              <w:rPr>
                <w:rFonts w:ascii="Calibri" w:hAnsi="Calibri" w:cs="Calibri"/>
                <w:color w:val="000000"/>
                <w:sz w:val="20"/>
                <w:szCs w:val="20"/>
              </w:rPr>
              <w:t>14</w:t>
            </w:r>
          </w:p>
        </w:tc>
        <w:tc>
          <w:tcPr>
            <w:tcW w:w="737" w:type="dxa"/>
            <w:tcBorders>
              <w:top w:val="nil"/>
              <w:left w:val="nil"/>
              <w:bottom w:val="single" w:sz="4" w:space="0" w:color="8EA9DB"/>
              <w:right w:val="nil"/>
            </w:tcBorders>
            <w:vAlign w:val="bottom"/>
          </w:tcPr>
          <w:p w14:paraId="75A1AF55" w14:textId="4454542F" w:rsidR="009043FD" w:rsidRPr="004F4F3C" w:rsidRDefault="009043FD" w:rsidP="009043FD">
            <w:pPr>
              <w:jc w:val="center"/>
              <w:rPr>
                <w:rFonts w:ascii="Calibri" w:hAnsi="Calibri" w:cs="Calibri"/>
                <w:color w:val="000000"/>
                <w:sz w:val="20"/>
                <w:szCs w:val="20"/>
              </w:rPr>
            </w:pPr>
            <w:r w:rsidRPr="004F4F3C">
              <w:rPr>
                <w:rFonts w:ascii="Calibri" w:hAnsi="Calibri" w:cs="Calibri"/>
                <w:color w:val="000000"/>
                <w:sz w:val="20"/>
                <w:szCs w:val="20"/>
              </w:rPr>
              <w:t>7.0%</w:t>
            </w:r>
          </w:p>
        </w:tc>
        <w:tc>
          <w:tcPr>
            <w:tcW w:w="737" w:type="dxa"/>
            <w:tcBorders>
              <w:top w:val="nil"/>
              <w:left w:val="nil"/>
              <w:bottom w:val="single" w:sz="4" w:space="0" w:color="8EA9DB"/>
              <w:right w:val="nil"/>
            </w:tcBorders>
            <w:shd w:val="clear" w:color="auto" w:fill="auto"/>
            <w:noWrap/>
            <w:vAlign w:val="bottom"/>
          </w:tcPr>
          <w:p w14:paraId="23399437" w14:textId="210EBCEE" w:rsidR="009043FD" w:rsidRPr="004F4F3C" w:rsidRDefault="009043FD" w:rsidP="009043FD">
            <w:pPr>
              <w:jc w:val="center"/>
              <w:rPr>
                <w:rFonts w:ascii="Calibri" w:hAnsi="Calibri" w:cs="Calibri"/>
                <w:color w:val="000000"/>
                <w:sz w:val="20"/>
                <w:szCs w:val="20"/>
              </w:rPr>
            </w:pPr>
          </w:p>
        </w:tc>
        <w:tc>
          <w:tcPr>
            <w:tcW w:w="737" w:type="dxa"/>
            <w:tcBorders>
              <w:top w:val="nil"/>
              <w:left w:val="nil"/>
              <w:bottom w:val="single" w:sz="4" w:space="0" w:color="8EA9DB"/>
              <w:right w:val="nil"/>
            </w:tcBorders>
            <w:vAlign w:val="bottom"/>
          </w:tcPr>
          <w:p w14:paraId="066B20AB" w14:textId="4E7A5EFF" w:rsidR="009043FD" w:rsidRPr="004F4F3C" w:rsidRDefault="009043FD" w:rsidP="009043FD">
            <w:pPr>
              <w:jc w:val="center"/>
              <w:rPr>
                <w:rFonts w:ascii="Calibri" w:hAnsi="Calibri" w:cs="Calibri"/>
                <w:color w:val="000000"/>
                <w:sz w:val="20"/>
                <w:szCs w:val="20"/>
              </w:rPr>
            </w:pPr>
            <w:r w:rsidRPr="004F4F3C">
              <w:rPr>
                <w:rFonts w:ascii="Calibri" w:hAnsi="Calibri" w:cs="Calibri"/>
                <w:color w:val="000000"/>
                <w:sz w:val="20"/>
                <w:szCs w:val="20"/>
              </w:rPr>
              <w:t>0.0%</w:t>
            </w:r>
          </w:p>
        </w:tc>
      </w:tr>
      <w:tr w:rsidR="009043FD" w14:paraId="43177B15" w14:textId="76221677" w:rsidTr="00556278">
        <w:trPr>
          <w:trHeight w:val="300"/>
        </w:trPr>
        <w:tc>
          <w:tcPr>
            <w:tcW w:w="3436" w:type="dxa"/>
            <w:tcBorders>
              <w:top w:val="nil"/>
              <w:left w:val="nil"/>
              <w:bottom w:val="single" w:sz="4" w:space="0" w:color="8EA9DB"/>
              <w:right w:val="nil"/>
            </w:tcBorders>
            <w:shd w:val="clear" w:color="auto" w:fill="auto"/>
            <w:noWrap/>
            <w:vAlign w:val="bottom"/>
            <w:hideMark/>
          </w:tcPr>
          <w:p w14:paraId="25FE83E6" w14:textId="77777777" w:rsidR="009043FD" w:rsidRPr="004F4F3C" w:rsidRDefault="009043FD" w:rsidP="009043FD">
            <w:pPr>
              <w:rPr>
                <w:rFonts w:ascii="Calibri" w:hAnsi="Calibri" w:cs="Calibri"/>
                <w:color w:val="000000"/>
                <w:sz w:val="20"/>
                <w:szCs w:val="20"/>
              </w:rPr>
            </w:pPr>
            <w:r w:rsidRPr="004F4F3C">
              <w:rPr>
                <w:rFonts w:ascii="Calibri" w:hAnsi="Calibri" w:cs="Calibri"/>
                <w:color w:val="000000"/>
                <w:sz w:val="20"/>
                <w:szCs w:val="20"/>
              </w:rPr>
              <w:t>Band 5-7</w:t>
            </w:r>
          </w:p>
        </w:tc>
        <w:tc>
          <w:tcPr>
            <w:tcW w:w="737" w:type="dxa"/>
            <w:tcBorders>
              <w:top w:val="nil"/>
              <w:left w:val="nil"/>
              <w:bottom w:val="single" w:sz="4" w:space="0" w:color="8EA9DB"/>
              <w:right w:val="nil"/>
            </w:tcBorders>
            <w:shd w:val="clear" w:color="auto" w:fill="auto"/>
            <w:noWrap/>
            <w:vAlign w:val="bottom"/>
          </w:tcPr>
          <w:p w14:paraId="3016DB35" w14:textId="04DDD4E9" w:rsidR="009043FD" w:rsidRPr="004F4F3C" w:rsidRDefault="00347055" w:rsidP="009043FD">
            <w:pPr>
              <w:jc w:val="center"/>
              <w:rPr>
                <w:rFonts w:ascii="Calibri" w:hAnsi="Calibri" w:cs="Calibri"/>
                <w:color w:val="000000"/>
                <w:sz w:val="20"/>
                <w:szCs w:val="20"/>
              </w:rPr>
            </w:pPr>
            <w:r>
              <w:rPr>
                <w:rFonts w:ascii="Calibri" w:hAnsi="Calibri" w:cs="Calibri"/>
                <w:color w:val="000000"/>
                <w:sz w:val="20"/>
                <w:szCs w:val="20"/>
              </w:rPr>
              <w:t>287</w:t>
            </w:r>
          </w:p>
        </w:tc>
        <w:tc>
          <w:tcPr>
            <w:tcW w:w="737" w:type="dxa"/>
            <w:tcBorders>
              <w:top w:val="nil"/>
              <w:left w:val="nil"/>
              <w:bottom w:val="single" w:sz="4" w:space="0" w:color="8EA9DB"/>
              <w:right w:val="nil"/>
            </w:tcBorders>
            <w:vAlign w:val="bottom"/>
          </w:tcPr>
          <w:p w14:paraId="261BAEA0" w14:textId="2A4BE93C" w:rsidR="009043FD" w:rsidRPr="004F4F3C" w:rsidRDefault="009043FD" w:rsidP="009043FD">
            <w:pPr>
              <w:jc w:val="center"/>
              <w:rPr>
                <w:rFonts w:ascii="Calibri" w:hAnsi="Calibri" w:cs="Calibri"/>
                <w:color w:val="000000"/>
                <w:sz w:val="20"/>
                <w:szCs w:val="20"/>
              </w:rPr>
            </w:pPr>
            <w:r w:rsidRPr="004F4F3C">
              <w:rPr>
                <w:rFonts w:ascii="Calibri" w:hAnsi="Calibri" w:cs="Calibri"/>
                <w:color w:val="000000"/>
                <w:sz w:val="20"/>
                <w:szCs w:val="20"/>
              </w:rPr>
              <w:t>88.3%</w:t>
            </w:r>
          </w:p>
        </w:tc>
        <w:tc>
          <w:tcPr>
            <w:tcW w:w="737" w:type="dxa"/>
            <w:tcBorders>
              <w:top w:val="nil"/>
              <w:left w:val="nil"/>
              <w:bottom w:val="single" w:sz="4" w:space="0" w:color="8EA9DB"/>
              <w:right w:val="nil"/>
            </w:tcBorders>
            <w:shd w:val="clear" w:color="auto" w:fill="auto"/>
            <w:noWrap/>
            <w:vAlign w:val="bottom"/>
          </w:tcPr>
          <w:p w14:paraId="77E4531F" w14:textId="55D94209" w:rsidR="009043FD" w:rsidRPr="004F4F3C" w:rsidRDefault="00D936CF" w:rsidP="009043FD">
            <w:pPr>
              <w:jc w:val="center"/>
              <w:rPr>
                <w:rFonts w:ascii="Calibri" w:hAnsi="Calibri" w:cs="Calibri"/>
                <w:color w:val="000000"/>
                <w:sz w:val="20"/>
                <w:szCs w:val="20"/>
              </w:rPr>
            </w:pPr>
            <w:r>
              <w:rPr>
                <w:rFonts w:ascii="Calibri" w:hAnsi="Calibri" w:cs="Calibri"/>
                <w:color w:val="000000"/>
                <w:sz w:val="20"/>
                <w:szCs w:val="20"/>
              </w:rPr>
              <w:t>23</w:t>
            </w:r>
          </w:p>
        </w:tc>
        <w:tc>
          <w:tcPr>
            <w:tcW w:w="737" w:type="dxa"/>
            <w:tcBorders>
              <w:top w:val="nil"/>
              <w:left w:val="nil"/>
              <w:bottom w:val="single" w:sz="4" w:space="0" w:color="8EA9DB"/>
              <w:right w:val="nil"/>
            </w:tcBorders>
            <w:vAlign w:val="bottom"/>
          </w:tcPr>
          <w:p w14:paraId="0199969B" w14:textId="36CBCC8F" w:rsidR="009043FD" w:rsidRPr="004F4F3C" w:rsidRDefault="009043FD" w:rsidP="009043FD">
            <w:pPr>
              <w:jc w:val="center"/>
              <w:rPr>
                <w:rFonts w:ascii="Calibri" w:hAnsi="Calibri" w:cs="Calibri"/>
                <w:color w:val="000000"/>
                <w:sz w:val="20"/>
                <w:szCs w:val="20"/>
              </w:rPr>
            </w:pPr>
            <w:r w:rsidRPr="004F4F3C">
              <w:rPr>
                <w:rFonts w:ascii="Calibri" w:hAnsi="Calibri" w:cs="Calibri"/>
                <w:color w:val="000000"/>
                <w:sz w:val="20"/>
                <w:szCs w:val="20"/>
              </w:rPr>
              <w:t>6.9%</w:t>
            </w:r>
          </w:p>
        </w:tc>
        <w:tc>
          <w:tcPr>
            <w:tcW w:w="737" w:type="dxa"/>
            <w:tcBorders>
              <w:top w:val="nil"/>
              <w:left w:val="nil"/>
              <w:bottom w:val="single" w:sz="4" w:space="0" w:color="8EA9DB"/>
              <w:right w:val="nil"/>
            </w:tcBorders>
            <w:shd w:val="clear" w:color="auto" w:fill="auto"/>
            <w:noWrap/>
            <w:vAlign w:val="bottom"/>
          </w:tcPr>
          <w:p w14:paraId="0D55C86C" w14:textId="6B5C5F8D" w:rsidR="009043FD" w:rsidRPr="004F4F3C" w:rsidRDefault="00280D17" w:rsidP="009043FD">
            <w:pPr>
              <w:jc w:val="center"/>
              <w:rPr>
                <w:rFonts w:ascii="Calibri" w:hAnsi="Calibri" w:cs="Calibri"/>
                <w:color w:val="000000"/>
                <w:sz w:val="20"/>
                <w:szCs w:val="20"/>
              </w:rPr>
            </w:pPr>
            <w:r>
              <w:rPr>
                <w:rFonts w:ascii="Calibri" w:hAnsi="Calibri" w:cs="Calibri"/>
                <w:color w:val="000000"/>
                <w:sz w:val="20"/>
                <w:szCs w:val="20"/>
              </w:rPr>
              <w:t>10</w:t>
            </w:r>
          </w:p>
        </w:tc>
        <w:tc>
          <w:tcPr>
            <w:tcW w:w="737" w:type="dxa"/>
            <w:tcBorders>
              <w:top w:val="nil"/>
              <w:left w:val="nil"/>
              <w:bottom w:val="single" w:sz="4" w:space="0" w:color="8EA9DB"/>
              <w:right w:val="nil"/>
            </w:tcBorders>
            <w:vAlign w:val="bottom"/>
          </w:tcPr>
          <w:p w14:paraId="3F9A496F" w14:textId="722E56DA" w:rsidR="009043FD" w:rsidRPr="004F4F3C" w:rsidRDefault="009043FD" w:rsidP="009043FD">
            <w:pPr>
              <w:jc w:val="center"/>
              <w:rPr>
                <w:rFonts w:ascii="Calibri" w:hAnsi="Calibri" w:cs="Calibri"/>
                <w:color w:val="000000"/>
                <w:sz w:val="20"/>
                <w:szCs w:val="20"/>
              </w:rPr>
            </w:pPr>
            <w:r w:rsidRPr="004F4F3C">
              <w:rPr>
                <w:rFonts w:ascii="Calibri" w:hAnsi="Calibri" w:cs="Calibri"/>
                <w:color w:val="000000"/>
                <w:sz w:val="20"/>
                <w:szCs w:val="20"/>
              </w:rPr>
              <w:t>3.0%</w:t>
            </w:r>
          </w:p>
        </w:tc>
        <w:tc>
          <w:tcPr>
            <w:tcW w:w="737" w:type="dxa"/>
            <w:tcBorders>
              <w:top w:val="nil"/>
              <w:left w:val="nil"/>
              <w:bottom w:val="single" w:sz="4" w:space="0" w:color="8EA9DB"/>
              <w:right w:val="nil"/>
            </w:tcBorders>
            <w:shd w:val="clear" w:color="auto" w:fill="auto"/>
            <w:noWrap/>
            <w:vAlign w:val="bottom"/>
          </w:tcPr>
          <w:p w14:paraId="2EF689F6" w14:textId="356F4677" w:rsidR="009043FD" w:rsidRPr="004F4F3C" w:rsidRDefault="00D60F6B" w:rsidP="009043FD">
            <w:pPr>
              <w:jc w:val="center"/>
              <w:rPr>
                <w:rFonts w:ascii="Calibri" w:hAnsi="Calibri" w:cs="Calibri"/>
                <w:color w:val="000000"/>
                <w:sz w:val="20"/>
                <w:szCs w:val="20"/>
              </w:rPr>
            </w:pPr>
            <w:r>
              <w:rPr>
                <w:rFonts w:ascii="Calibri" w:hAnsi="Calibri" w:cs="Calibri"/>
                <w:color w:val="000000"/>
                <w:sz w:val="20"/>
                <w:szCs w:val="20"/>
              </w:rPr>
              <w:t>6</w:t>
            </w:r>
          </w:p>
        </w:tc>
        <w:tc>
          <w:tcPr>
            <w:tcW w:w="737" w:type="dxa"/>
            <w:tcBorders>
              <w:top w:val="nil"/>
              <w:left w:val="nil"/>
              <w:bottom w:val="single" w:sz="4" w:space="0" w:color="8EA9DB"/>
              <w:right w:val="nil"/>
            </w:tcBorders>
            <w:vAlign w:val="bottom"/>
          </w:tcPr>
          <w:p w14:paraId="14C4DB74" w14:textId="479B4BD5" w:rsidR="009043FD" w:rsidRPr="004F4F3C" w:rsidRDefault="009043FD" w:rsidP="009043FD">
            <w:pPr>
              <w:jc w:val="center"/>
              <w:rPr>
                <w:rFonts w:ascii="Calibri" w:hAnsi="Calibri" w:cs="Calibri"/>
                <w:color w:val="000000"/>
                <w:sz w:val="20"/>
                <w:szCs w:val="20"/>
              </w:rPr>
            </w:pPr>
            <w:r w:rsidRPr="004F4F3C">
              <w:rPr>
                <w:rFonts w:ascii="Calibri" w:hAnsi="Calibri" w:cs="Calibri"/>
                <w:color w:val="000000"/>
                <w:sz w:val="20"/>
                <w:szCs w:val="20"/>
              </w:rPr>
              <w:t>1.8%</w:t>
            </w:r>
          </w:p>
        </w:tc>
      </w:tr>
      <w:tr w:rsidR="009043FD" w14:paraId="61F39782" w14:textId="39236E3F" w:rsidTr="00556278">
        <w:trPr>
          <w:trHeight w:val="300"/>
        </w:trPr>
        <w:tc>
          <w:tcPr>
            <w:tcW w:w="3436" w:type="dxa"/>
            <w:tcBorders>
              <w:top w:val="nil"/>
              <w:left w:val="nil"/>
              <w:bottom w:val="single" w:sz="4" w:space="0" w:color="8EA9DB"/>
              <w:right w:val="nil"/>
            </w:tcBorders>
            <w:shd w:val="clear" w:color="auto" w:fill="auto"/>
            <w:noWrap/>
            <w:vAlign w:val="bottom"/>
            <w:hideMark/>
          </w:tcPr>
          <w:p w14:paraId="76D9B0DD" w14:textId="77777777" w:rsidR="009043FD" w:rsidRPr="004F4F3C" w:rsidRDefault="009043FD" w:rsidP="009043FD">
            <w:pPr>
              <w:rPr>
                <w:rFonts w:ascii="Calibri" w:hAnsi="Calibri" w:cs="Calibri"/>
                <w:color w:val="000000"/>
                <w:sz w:val="20"/>
                <w:szCs w:val="20"/>
              </w:rPr>
            </w:pPr>
            <w:r w:rsidRPr="004F4F3C">
              <w:rPr>
                <w:rFonts w:ascii="Calibri" w:hAnsi="Calibri" w:cs="Calibri"/>
                <w:color w:val="000000"/>
                <w:sz w:val="20"/>
                <w:szCs w:val="20"/>
              </w:rPr>
              <w:t>Band 8A-8D</w:t>
            </w:r>
          </w:p>
        </w:tc>
        <w:tc>
          <w:tcPr>
            <w:tcW w:w="737" w:type="dxa"/>
            <w:tcBorders>
              <w:top w:val="nil"/>
              <w:left w:val="nil"/>
              <w:bottom w:val="single" w:sz="4" w:space="0" w:color="8EA9DB"/>
              <w:right w:val="nil"/>
            </w:tcBorders>
            <w:shd w:val="clear" w:color="auto" w:fill="auto"/>
            <w:noWrap/>
            <w:vAlign w:val="bottom"/>
          </w:tcPr>
          <w:p w14:paraId="1862FF21" w14:textId="27E2562E" w:rsidR="009043FD" w:rsidRPr="004F4F3C" w:rsidRDefault="00347055" w:rsidP="009043FD">
            <w:pPr>
              <w:jc w:val="center"/>
              <w:rPr>
                <w:rFonts w:ascii="Calibri" w:hAnsi="Calibri" w:cs="Calibri"/>
                <w:color w:val="000000"/>
                <w:sz w:val="20"/>
                <w:szCs w:val="20"/>
              </w:rPr>
            </w:pPr>
            <w:r>
              <w:rPr>
                <w:rFonts w:ascii="Calibri" w:hAnsi="Calibri" w:cs="Calibri"/>
                <w:color w:val="000000"/>
                <w:sz w:val="20"/>
                <w:szCs w:val="20"/>
              </w:rPr>
              <w:t>161</w:t>
            </w:r>
          </w:p>
        </w:tc>
        <w:tc>
          <w:tcPr>
            <w:tcW w:w="737" w:type="dxa"/>
            <w:tcBorders>
              <w:top w:val="nil"/>
              <w:left w:val="nil"/>
              <w:bottom w:val="single" w:sz="4" w:space="0" w:color="8EA9DB"/>
              <w:right w:val="nil"/>
            </w:tcBorders>
            <w:vAlign w:val="bottom"/>
          </w:tcPr>
          <w:p w14:paraId="7BB6F731" w14:textId="3D3F7658" w:rsidR="009043FD" w:rsidRPr="004F4F3C" w:rsidRDefault="009043FD" w:rsidP="009043FD">
            <w:pPr>
              <w:jc w:val="center"/>
              <w:rPr>
                <w:rFonts w:ascii="Calibri" w:hAnsi="Calibri" w:cs="Calibri"/>
                <w:color w:val="000000"/>
                <w:sz w:val="20"/>
                <w:szCs w:val="20"/>
              </w:rPr>
            </w:pPr>
            <w:r w:rsidRPr="004F4F3C">
              <w:rPr>
                <w:rFonts w:ascii="Calibri" w:hAnsi="Calibri" w:cs="Calibri"/>
                <w:color w:val="000000"/>
                <w:sz w:val="20"/>
                <w:szCs w:val="20"/>
              </w:rPr>
              <w:t>87.4%</w:t>
            </w:r>
          </w:p>
        </w:tc>
        <w:tc>
          <w:tcPr>
            <w:tcW w:w="737" w:type="dxa"/>
            <w:tcBorders>
              <w:top w:val="nil"/>
              <w:left w:val="nil"/>
              <w:bottom w:val="single" w:sz="4" w:space="0" w:color="8EA9DB"/>
              <w:right w:val="nil"/>
            </w:tcBorders>
            <w:shd w:val="clear" w:color="auto" w:fill="auto"/>
            <w:noWrap/>
            <w:vAlign w:val="bottom"/>
          </w:tcPr>
          <w:p w14:paraId="28E25DBF" w14:textId="18EEBC42" w:rsidR="009043FD" w:rsidRPr="004F4F3C" w:rsidRDefault="00D936CF" w:rsidP="009043FD">
            <w:pPr>
              <w:jc w:val="center"/>
              <w:rPr>
                <w:rFonts w:ascii="Calibri" w:hAnsi="Calibri" w:cs="Calibri"/>
                <w:color w:val="000000"/>
                <w:sz w:val="20"/>
                <w:szCs w:val="20"/>
              </w:rPr>
            </w:pPr>
            <w:r>
              <w:rPr>
                <w:rFonts w:ascii="Calibri" w:hAnsi="Calibri" w:cs="Calibri"/>
                <w:color w:val="000000"/>
                <w:sz w:val="20"/>
                <w:szCs w:val="20"/>
              </w:rPr>
              <w:t>12</w:t>
            </w:r>
          </w:p>
        </w:tc>
        <w:tc>
          <w:tcPr>
            <w:tcW w:w="737" w:type="dxa"/>
            <w:tcBorders>
              <w:top w:val="nil"/>
              <w:left w:val="nil"/>
              <w:bottom w:val="single" w:sz="4" w:space="0" w:color="8EA9DB"/>
              <w:right w:val="nil"/>
            </w:tcBorders>
            <w:vAlign w:val="bottom"/>
          </w:tcPr>
          <w:p w14:paraId="0227FEC8" w14:textId="437350D5" w:rsidR="009043FD" w:rsidRPr="004F4F3C" w:rsidRDefault="009043FD" w:rsidP="009043FD">
            <w:pPr>
              <w:jc w:val="center"/>
              <w:rPr>
                <w:rFonts w:ascii="Calibri" w:hAnsi="Calibri" w:cs="Calibri"/>
                <w:color w:val="000000"/>
                <w:sz w:val="20"/>
                <w:szCs w:val="20"/>
              </w:rPr>
            </w:pPr>
            <w:r w:rsidRPr="004F4F3C">
              <w:rPr>
                <w:rFonts w:ascii="Calibri" w:hAnsi="Calibri" w:cs="Calibri"/>
                <w:color w:val="000000"/>
                <w:sz w:val="20"/>
                <w:szCs w:val="20"/>
              </w:rPr>
              <w:t>6.3%</w:t>
            </w:r>
          </w:p>
        </w:tc>
        <w:tc>
          <w:tcPr>
            <w:tcW w:w="737" w:type="dxa"/>
            <w:tcBorders>
              <w:top w:val="nil"/>
              <w:left w:val="nil"/>
              <w:bottom w:val="single" w:sz="4" w:space="0" w:color="8EA9DB"/>
              <w:right w:val="nil"/>
            </w:tcBorders>
            <w:shd w:val="clear" w:color="auto" w:fill="auto"/>
            <w:noWrap/>
            <w:vAlign w:val="bottom"/>
          </w:tcPr>
          <w:p w14:paraId="0F332A2D" w14:textId="7CD621BC" w:rsidR="009043FD" w:rsidRPr="004F4F3C" w:rsidRDefault="00B35429" w:rsidP="009043FD">
            <w:pPr>
              <w:jc w:val="center"/>
              <w:rPr>
                <w:rFonts w:ascii="Calibri" w:hAnsi="Calibri" w:cs="Calibri"/>
                <w:color w:val="000000"/>
                <w:sz w:val="20"/>
                <w:szCs w:val="20"/>
              </w:rPr>
            </w:pPr>
            <w:r>
              <w:rPr>
                <w:rFonts w:ascii="Calibri" w:hAnsi="Calibri" w:cs="Calibri"/>
                <w:color w:val="000000"/>
                <w:sz w:val="20"/>
                <w:szCs w:val="20"/>
              </w:rPr>
              <w:t>6</w:t>
            </w:r>
          </w:p>
        </w:tc>
        <w:tc>
          <w:tcPr>
            <w:tcW w:w="737" w:type="dxa"/>
            <w:tcBorders>
              <w:top w:val="nil"/>
              <w:left w:val="nil"/>
              <w:bottom w:val="single" w:sz="4" w:space="0" w:color="8EA9DB"/>
              <w:right w:val="nil"/>
            </w:tcBorders>
            <w:vAlign w:val="bottom"/>
          </w:tcPr>
          <w:p w14:paraId="2506CEF4" w14:textId="76C6E9D8" w:rsidR="009043FD" w:rsidRPr="004F4F3C" w:rsidRDefault="009043FD" w:rsidP="009043FD">
            <w:pPr>
              <w:jc w:val="center"/>
              <w:rPr>
                <w:rFonts w:ascii="Calibri" w:hAnsi="Calibri" w:cs="Calibri"/>
                <w:color w:val="000000"/>
                <w:sz w:val="20"/>
                <w:szCs w:val="20"/>
              </w:rPr>
            </w:pPr>
            <w:r w:rsidRPr="004F4F3C">
              <w:rPr>
                <w:rFonts w:ascii="Calibri" w:hAnsi="Calibri" w:cs="Calibri"/>
                <w:color w:val="000000"/>
                <w:sz w:val="20"/>
                <w:szCs w:val="20"/>
              </w:rPr>
              <w:t>3.1%</w:t>
            </w:r>
          </w:p>
        </w:tc>
        <w:tc>
          <w:tcPr>
            <w:tcW w:w="737" w:type="dxa"/>
            <w:tcBorders>
              <w:top w:val="nil"/>
              <w:left w:val="nil"/>
              <w:bottom w:val="single" w:sz="4" w:space="0" w:color="8EA9DB"/>
              <w:right w:val="nil"/>
            </w:tcBorders>
            <w:shd w:val="clear" w:color="auto" w:fill="auto"/>
            <w:noWrap/>
            <w:vAlign w:val="bottom"/>
          </w:tcPr>
          <w:p w14:paraId="38E5C642" w14:textId="08EF0373" w:rsidR="009043FD" w:rsidRPr="004F4F3C" w:rsidRDefault="00D60F6B" w:rsidP="009043FD">
            <w:pPr>
              <w:jc w:val="center"/>
              <w:rPr>
                <w:rFonts w:ascii="Calibri" w:hAnsi="Calibri" w:cs="Calibri"/>
                <w:color w:val="000000"/>
                <w:sz w:val="20"/>
                <w:szCs w:val="20"/>
              </w:rPr>
            </w:pPr>
            <w:r>
              <w:rPr>
                <w:rFonts w:ascii="Calibri" w:hAnsi="Calibri" w:cs="Calibri"/>
                <w:color w:val="000000"/>
                <w:sz w:val="20"/>
                <w:szCs w:val="20"/>
              </w:rPr>
              <w:t>6</w:t>
            </w:r>
          </w:p>
        </w:tc>
        <w:tc>
          <w:tcPr>
            <w:tcW w:w="737" w:type="dxa"/>
            <w:tcBorders>
              <w:top w:val="nil"/>
              <w:left w:val="nil"/>
              <w:bottom w:val="single" w:sz="4" w:space="0" w:color="8EA9DB"/>
              <w:right w:val="nil"/>
            </w:tcBorders>
            <w:vAlign w:val="bottom"/>
          </w:tcPr>
          <w:p w14:paraId="1F493A49" w14:textId="2BB8F323" w:rsidR="009043FD" w:rsidRPr="004F4F3C" w:rsidRDefault="009043FD" w:rsidP="009043FD">
            <w:pPr>
              <w:jc w:val="center"/>
              <w:rPr>
                <w:rFonts w:ascii="Calibri" w:hAnsi="Calibri" w:cs="Calibri"/>
                <w:color w:val="000000"/>
                <w:sz w:val="20"/>
                <w:szCs w:val="20"/>
              </w:rPr>
            </w:pPr>
            <w:r w:rsidRPr="004F4F3C">
              <w:rPr>
                <w:rFonts w:ascii="Calibri" w:hAnsi="Calibri" w:cs="Calibri"/>
                <w:color w:val="000000"/>
                <w:sz w:val="20"/>
                <w:szCs w:val="20"/>
              </w:rPr>
              <w:t>3.1%</w:t>
            </w:r>
          </w:p>
        </w:tc>
      </w:tr>
      <w:tr w:rsidR="009043FD" w14:paraId="3CD635CC" w14:textId="22D7DDCC" w:rsidTr="00556278">
        <w:trPr>
          <w:trHeight w:val="300"/>
        </w:trPr>
        <w:tc>
          <w:tcPr>
            <w:tcW w:w="3436" w:type="dxa"/>
            <w:tcBorders>
              <w:top w:val="nil"/>
              <w:left w:val="nil"/>
              <w:bottom w:val="single" w:sz="4" w:space="0" w:color="8EA9DB"/>
              <w:right w:val="nil"/>
            </w:tcBorders>
            <w:shd w:val="clear" w:color="auto" w:fill="auto"/>
            <w:noWrap/>
            <w:vAlign w:val="bottom"/>
            <w:hideMark/>
          </w:tcPr>
          <w:p w14:paraId="590845A5" w14:textId="77777777" w:rsidR="009043FD" w:rsidRPr="004F4F3C" w:rsidRDefault="009043FD" w:rsidP="009043FD">
            <w:pPr>
              <w:rPr>
                <w:rFonts w:ascii="Calibri" w:hAnsi="Calibri" w:cs="Calibri"/>
                <w:color w:val="000000"/>
                <w:sz w:val="20"/>
                <w:szCs w:val="20"/>
              </w:rPr>
            </w:pPr>
            <w:r w:rsidRPr="004F4F3C">
              <w:rPr>
                <w:rFonts w:ascii="Calibri" w:hAnsi="Calibri" w:cs="Calibri"/>
                <w:color w:val="000000"/>
                <w:sz w:val="20"/>
                <w:szCs w:val="20"/>
              </w:rPr>
              <w:t>Band 9 &amp; Executive Cohort</w:t>
            </w:r>
          </w:p>
        </w:tc>
        <w:tc>
          <w:tcPr>
            <w:tcW w:w="737" w:type="dxa"/>
            <w:tcBorders>
              <w:top w:val="nil"/>
              <w:left w:val="nil"/>
              <w:bottom w:val="single" w:sz="4" w:space="0" w:color="8EA9DB"/>
              <w:right w:val="nil"/>
            </w:tcBorders>
            <w:shd w:val="clear" w:color="auto" w:fill="auto"/>
            <w:noWrap/>
            <w:vAlign w:val="bottom"/>
          </w:tcPr>
          <w:p w14:paraId="2D64A89A" w14:textId="3110E09A" w:rsidR="009043FD" w:rsidRPr="004F4F3C" w:rsidRDefault="00347055" w:rsidP="009043FD">
            <w:pPr>
              <w:jc w:val="center"/>
              <w:rPr>
                <w:rFonts w:ascii="Calibri" w:hAnsi="Calibri" w:cs="Calibri"/>
                <w:color w:val="000000"/>
                <w:sz w:val="20"/>
                <w:szCs w:val="20"/>
              </w:rPr>
            </w:pPr>
            <w:r>
              <w:rPr>
                <w:rFonts w:ascii="Calibri" w:hAnsi="Calibri" w:cs="Calibri"/>
                <w:color w:val="000000"/>
                <w:sz w:val="20"/>
                <w:szCs w:val="20"/>
              </w:rPr>
              <w:t>6</w:t>
            </w:r>
          </w:p>
        </w:tc>
        <w:tc>
          <w:tcPr>
            <w:tcW w:w="737" w:type="dxa"/>
            <w:tcBorders>
              <w:top w:val="nil"/>
              <w:left w:val="nil"/>
              <w:bottom w:val="single" w:sz="4" w:space="0" w:color="8EA9DB"/>
              <w:right w:val="nil"/>
            </w:tcBorders>
            <w:vAlign w:val="bottom"/>
          </w:tcPr>
          <w:p w14:paraId="60679F3D" w14:textId="46ABD5C0" w:rsidR="009043FD" w:rsidRPr="004F4F3C" w:rsidRDefault="009043FD" w:rsidP="009043FD">
            <w:pPr>
              <w:jc w:val="center"/>
              <w:rPr>
                <w:rFonts w:ascii="Calibri" w:hAnsi="Calibri" w:cs="Calibri"/>
                <w:color w:val="000000"/>
                <w:sz w:val="20"/>
                <w:szCs w:val="20"/>
              </w:rPr>
            </w:pPr>
            <w:r w:rsidRPr="004F4F3C">
              <w:rPr>
                <w:rFonts w:ascii="Calibri" w:hAnsi="Calibri" w:cs="Calibri"/>
                <w:color w:val="000000"/>
                <w:sz w:val="20"/>
                <w:szCs w:val="20"/>
              </w:rPr>
              <w:t>87.5%</w:t>
            </w:r>
          </w:p>
        </w:tc>
        <w:tc>
          <w:tcPr>
            <w:tcW w:w="737" w:type="dxa"/>
            <w:tcBorders>
              <w:top w:val="nil"/>
              <w:left w:val="nil"/>
              <w:bottom w:val="single" w:sz="4" w:space="0" w:color="8EA9DB"/>
              <w:right w:val="nil"/>
            </w:tcBorders>
            <w:shd w:val="clear" w:color="auto" w:fill="auto"/>
            <w:noWrap/>
            <w:vAlign w:val="bottom"/>
          </w:tcPr>
          <w:p w14:paraId="09A4F7BC" w14:textId="4ED4A661" w:rsidR="009043FD" w:rsidRPr="004F4F3C" w:rsidRDefault="00280D17" w:rsidP="009043FD">
            <w:pPr>
              <w:jc w:val="center"/>
              <w:rPr>
                <w:rFonts w:ascii="Calibri" w:hAnsi="Calibri" w:cs="Calibri"/>
                <w:color w:val="000000"/>
                <w:sz w:val="20"/>
                <w:szCs w:val="20"/>
              </w:rPr>
            </w:pPr>
            <w:r>
              <w:rPr>
                <w:rFonts w:ascii="Calibri" w:hAnsi="Calibri" w:cs="Calibri"/>
                <w:color w:val="000000"/>
                <w:sz w:val="20"/>
                <w:szCs w:val="20"/>
              </w:rPr>
              <w:t>*</w:t>
            </w:r>
          </w:p>
        </w:tc>
        <w:tc>
          <w:tcPr>
            <w:tcW w:w="737" w:type="dxa"/>
            <w:tcBorders>
              <w:top w:val="nil"/>
              <w:left w:val="nil"/>
              <w:bottom w:val="single" w:sz="4" w:space="0" w:color="8EA9DB"/>
              <w:right w:val="nil"/>
            </w:tcBorders>
            <w:vAlign w:val="bottom"/>
          </w:tcPr>
          <w:p w14:paraId="533DEFED" w14:textId="39F0CEC6" w:rsidR="009043FD" w:rsidRPr="004F4F3C" w:rsidRDefault="009043FD" w:rsidP="009043FD">
            <w:pPr>
              <w:jc w:val="center"/>
              <w:rPr>
                <w:rFonts w:ascii="Calibri" w:hAnsi="Calibri" w:cs="Calibri"/>
                <w:color w:val="000000"/>
                <w:sz w:val="20"/>
                <w:szCs w:val="20"/>
              </w:rPr>
            </w:pPr>
            <w:r w:rsidRPr="004F4F3C">
              <w:rPr>
                <w:rFonts w:ascii="Calibri" w:hAnsi="Calibri" w:cs="Calibri"/>
                <w:color w:val="000000"/>
                <w:sz w:val="20"/>
                <w:szCs w:val="20"/>
              </w:rPr>
              <w:t>12.5%</w:t>
            </w:r>
          </w:p>
        </w:tc>
        <w:tc>
          <w:tcPr>
            <w:tcW w:w="737" w:type="dxa"/>
            <w:tcBorders>
              <w:top w:val="nil"/>
              <w:left w:val="nil"/>
              <w:bottom w:val="single" w:sz="4" w:space="0" w:color="8EA9DB"/>
              <w:right w:val="nil"/>
            </w:tcBorders>
            <w:shd w:val="clear" w:color="auto" w:fill="auto"/>
            <w:noWrap/>
            <w:vAlign w:val="bottom"/>
          </w:tcPr>
          <w:p w14:paraId="18C0AE55" w14:textId="1D12F09F" w:rsidR="009043FD" w:rsidRPr="004F4F3C" w:rsidRDefault="00742EA5" w:rsidP="009043FD">
            <w:pPr>
              <w:jc w:val="center"/>
              <w:rPr>
                <w:rFonts w:ascii="Calibri" w:hAnsi="Calibri" w:cs="Calibri"/>
                <w:color w:val="000000"/>
                <w:sz w:val="20"/>
                <w:szCs w:val="20"/>
              </w:rPr>
            </w:pPr>
            <w:r>
              <w:rPr>
                <w:rFonts w:ascii="Calibri" w:hAnsi="Calibri" w:cs="Calibri"/>
                <w:color w:val="000000"/>
                <w:sz w:val="20"/>
                <w:szCs w:val="20"/>
              </w:rPr>
              <w:t>-</w:t>
            </w:r>
          </w:p>
        </w:tc>
        <w:tc>
          <w:tcPr>
            <w:tcW w:w="737" w:type="dxa"/>
            <w:tcBorders>
              <w:top w:val="nil"/>
              <w:left w:val="nil"/>
              <w:bottom w:val="single" w:sz="4" w:space="0" w:color="8EA9DB"/>
              <w:right w:val="nil"/>
            </w:tcBorders>
            <w:vAlign w:val="bottom"/>
          </w:tcPr>
          <w:p w14:paraId="31E366ED" w14:textId="4805FF06" w:rsidR="009043FD" w:rsidRPr="004F4F3C" w:rsidRDefault="009043FD" w:rsidP="009043FD">
            <w:pPr>
              <w:jc w:val="center"/>
              <w:rPr>
                <w:rFonts w:ascii="Calibri" w:hAnsi="Calibri" w:cs="Calibri"/>
                <w:color w:val="000000"/>
                <w:sz w:val="20"/>
                <w:szCs w:val="20"/>
              </w:rPr>
            </w:pPr>
            <w:r w:rsidRPr="004F4F3C">
              <w:rPr>
                <w:rFonts w:ascii="Calibri" w:hAnsi="Calibri" w:cs="Calibri"/>
                <w:color w:val="000000"/>
                <w:sz w:val="20"/>
                <w:szCs w:val="20"/>
              </w:rPr>
              <w:t>0.0%</w:t>
            </w:r>
          </w:p>
        </w:tc>
        <w:tc>
          <w:tcPr>
            <w:tcW w:w="737" w:type="dxa"/>
            <w:tcBorders>
              <w:top w:val="nil"/>
              <w:left w:val="nil"/>
              <w:bottom w:val="single" w:sz="4" w:space="0" w:color="8EA9DB"/>
              <w:right w:val="nil"/>
            </w:tcBorders>
            <w:shd w:val="clear" w:color="auto" w:fill="auto"/>
            <w:noWrap/>
            <w:vAlign w:val="bottom"/>
          </w:tcPr>
          <w:p w14:paraId="32ECADD9" w14:textId="00C72468" w:rsidR="009043FD" w:rsidRPr="004F4F3C" w:rsidRDefault="009043FD" w:rsidP="009043FD">
            <w:pPr>
              <w:jc w:val="center"/>
              <w:rPr>
                <w:rFonts w:ascii="Calibri" w:hAnsi="Calibri" w:cs="Calibri"/>
                <w:color w:val="000000"/>
                <w:sz w:val="20"/>
                <w:szCs w:val="20"/>
              </w:rPr>
            </w:pPr>
          </w:p>
        </w:tc>
        <w:tc>
          <w:tcPr>
            <w:tcW w:w="737" w:type="dxa"/>
            <w:tcBorders>
              <w:top w:val="nil"/>
              <w:left w:val="nil"/>
              <w:bottom w:val="single" w:sz="4" w:space="0" w:color="8EA9DB"/>
              <w:right w:val="nil"/>
            </w:tcBorders>
            <w:vAlign w:val="bottom"/>
          </w:tcPr>
          <w:p w14:paraId="4E64A2D1" w14:textId="71544780" w:rsidR="009043FD" w:rsidRPr="004F4F3C" w:rsidRDefault="009043FD" w:rsidP="009043FD">
            <w:pPr>
              <w:jc w:val="center"/>
              <w:rPr>
                <w:rFonts w:ascii="Calibri" w:hAnsi="Calibri" w:cs="Calibri"/>
                <w:color w:val="000000"/>
                <w:sz w:val="20"/>
                <w:szCs w:val="20"/>
              </w:rPr>
            </w:pPr>
            <w:r w:rsidRPr="004F4F3C">
              <w:rPr>
                <w:rFonts w:ascii="Calibri" w:hAnsi="Calibri" w:cs="Calibri"/>
                <w:color w:val="000000"/>
                <w:sz w:val="20"/>
                <w:szCs w:val="20"/>
              </w:rPr>
              <w:t>0.0%</w:t>
            </w:r>
          </w:p>
        </w:tc>
      </w:tr>
      <w:tr w:rsidR="009043FD" w14:paraId="0964D476" w14:textId="75A7CB46" w:rsidTr="00556278">
        <w:trPr>
          <w:trHeight w:val="300"/>
        </w:trPr>
        <w:tc>
          <w:tcPr>
            <w:tcW w:w="3436" w:type="dxa"/>
            <w:tcBorders>
              <w:top w:val="nil"/>
              <w:left w:val="nil"/>
              <w:bottom w:val="single" w:sz="4" w:space="0" w:color="8EA9DB"/>
              <w:right w:val="nil"/>
            </w:tcBorders>
            <w:shd w:val="clear" w:color="auto" w:fill="auto"/>
            <w:noWrap/>
            <w:vAlign w:val="bottom"/>
            <w:hideMark/>
          </w:tcPr>
          <w:p w14:paraId="00DAB665" w14:textId="77777777" w:rsidR="009043FD" w:rsidRPr="004F4F3C" w:rsidRDefault="009043FD" w:rsidP="009043FD">
            <w:pPr>
              <w:rPr>
                <w:rFonts w:ascii="Calibri" w:hAnsi="Calibri" w:cs="Calibri"/>
                <w:color w:val="000000"/>
                <w:sz w:val="20"/>
                <w:szCs w:val="20"/>
              </w:rPr>
            </w:pPr>
            <w:r w:rsidRPr="004F4F3C">
              <w:rPr>
                <w:rFonts w:ascii="Calibri" w:hAnsi="Calibri" w:cs="Calibri"/>
                <w:color w:val="000000"/>
                <w:sz w:val="20"/>
                <w:szCs w:val="20"/>
              </w:rPr>
              <w:t>GP/GDP Ed's, CRUMP and Consultants</w:t>
            </w:r>
          </w:p>
        </w:tc>
        <w:tc>
          <w:tcPr>
            <w:tcW w:w="737" w:type="dxa"/>
            <w:tcBorders>
              <w:top w:val="nil"/>
              <w:left w:val="nil"/>
              <w:bottom w:val="single" w:sz="4" w:space="0" w:color="8EA9DB"/>
              <w:right w:val="nil"/>
            </w:tcBorders>
            <w:shd w:val="clear" w:color="auto" w:fill="auto"/>
            <w:noWrap/>
            <w:vAlign w:val="bottom"/>
          </w:tcPr>
          <w:p w14:paraId="6193E7A7" w14:textId="6839A75D" w:rsidR="009043FD" w:rsidRPr="004F4F3C" w:rsidRDefault="00347055" w:rsidP="009043FD">
            <w:pPr>
              <w:jc w:val="center"/>
              <w:rPr>
                <w:rFonts w:ascii="Calibri" w:hAnsi="Calibri" w:cs="Calibri"/>
                <w:color w:val="000000"/>
                <w:sz w:val="20"/>
                <w:szCs w:val="20"/>
              </w:rPr>
            </w:pPr>
            <w:r>
              <w:rPr>
                <w:rFonts w:ascii="Calibri" w:hAnsi="Calibri" w:cs="Calibri"/>
                <w:color w:val="000000"/>
                <w:sz w:val="20"/>
                <w:szCs w:val="20"/>
              </w:rPr>
              <w:t>85</w:t>
            </w:r>
          </w:p>
        </w:tc>
        <w:tc>
          <w:tcPr>
            <w:tcW w:w="737" w:type="dxa"/>
            <w:tcBorders>
              <w:top w:val="nil"/>
              <w:left w:val="nil"/>
              <w:bottom w:val="single" w:sz="4" w:space="0" w:color="8EA9DB"/>
              <w:right w:val="nil"/>
            </w:tcBorders>
            <w:vAlign w:val="bottom"/>
          </w:tcPr>
          <w:p w14:paraId="6B5C4299" w14:textId="4934010A" w:rsidR="009043FD" w:rsidRPr="004F4F3C" w:rsidRDefault="009043FD" w:rsidP="009043FD">
            <w:pPr>
              <w:jc w:val="center"/>
              <w:rPr>
                <w:rFonts w:ascii="Calibri" w:hAnsi="Calibri" w:cs="Calibri"/>
                <w:color w:val="000000"/>
                <w:sz w:val="20"/>
                <w:szCs w:val="20"/>
              </w:rPr>
            </w:pPr>
            <w:r w:rsidRPr="004F4F3C">
              <w:rPr>
                <w:rFonts w:ascii="Calibri" w:hAnsi="Calibri" w:cs="Calibri"/>
                <w:color w:val="000000"/>
                <w:sz w:val="20"/>
                <w:szCs w:val="20"/>
              </w:rPr>
              <w:t>85.0%</w:t>
            </w:r>
          </w:p>
        </w:tc>
        <w:tc>
          <w:tcPr>
            <w:tcW w:w="737" w:type="dxa"/>
            <w:tcBorders>
              <w:top w:val="nil"/>
              <w:left w:val="nil"/>
              <w:bottom w:val="single" w:sz="4" w:space="0" w:color="8EA9DB"/>
              <w:right w:val="nil"/>
            </w:tcBorders>
            <w:shd w:val="clear" w:color="auto" w:fill="auto"/>
            <w:noWrap/>
            <w:vAlign w:val="bottom"/>
          </w:tcPr>
          <w:p w14:paraId="022ADCE5" w14:textId="6481F03E" w:rsidR="009043FD" w:rsidRPr="004F4F3C" w:rsidRDefault="00D936CF" w:rsidP="009043FD">
            <w:pPr>
              <w:jc w:val="center"/>
              <w:rPr>
                <w:rFonts w:ascii="Calibri" w:hAnsi="Calibri" w:cs="Calibri"/>
                <w:color w:val="000000"/>
                <w:sz w:val="20"/>
                <w:szCs w:val="20"/>
              </w:rPr>
            </w:pPr>
            <w:r>
              <w:rPr>
                <w:rFonts w:ascii="Calibri" w:hAnsi="Calibri" w:cs="Calibri"/>
                <w:color w:val="000000"/>
                <w:sz w:val="20"/>
                <w:szCs w:val="20"/>
              </w:rPr>
              <w:t>6</w:t>
            </w:r>
          </w:p>
        </w:tc>
        <w:tc>
          <w:tcPr>
            <w:tcW w:w="737" w:type="dxa"/>
            <w:tcBorders>
              <w:top w:val="nil"/>
              <w:left w:val="nil"/>
              <w:bottom w:val="single" w:sz="4" w:space="0" w:color="8EA9DB"/>
              <w:right w:val="nil"/>
            </w:tcBorders>
            <w:vAlign w:val="bottom"/>
          </w:tcPr>
          <w:p w14:paraId="0C926829" w14:textId="66396223" w:rsidR="009043FD" w:rsidRPr="004F4F3C" w:rsidRDefault="009043FD" w:rsidP="009043FD">
            <w:pPr>
              <w:jc w:val="center"/>
              <w:rPr>
                <w:rFonts w:ascii="Calibri" w:hAnsi="Calibri" w:cs="Calibri"/>
                <w:color w:val="000000"/>
                <w:sz w:val="20"/>
                <w:szCs w:val="20"/>
              </w:rPr>
            </w:pPr>
            <w:r w:rsidRPr="004F4F3C">
              <w:rPr>
                <w:rFonts w:ascii="Calibri" w:hAnsi="Calibri" w:cs="Calibri"/>
                <w:color w:val="000000"/>
                <w:sz w:val="20"/>
                <w:szCs w:val="20"/>
              </w:rPr>
              <w:t>5.3%</w:t>
            </w:r>
          </w:p>
        </w:tc>
        <w:tc>
          <w:tcPr>
            <w:tcW w:w="737" w:type="dxa"/>
            <w:tcBorders>
              <w:top w:val="nil"/>
              <w:left w:val="nil"/>
              <w:bottom w:val="single" w:sz="4" w:space="0" w:color="8EA9DB"/>
              <w:right w:val="nil"/>
            </w:tcBorders>
            <w:shd w:val="clear" w:color="auto" w:fill="auto"/>
            <w:noWrap/>
            <w:vAlign w:val="bottom"/>
          </w:tcPr>
          <w:p w14:paraId="4168F95C" w14:textId="7AA5B596" w:rsidR="009043FD" w:rsidRPr="004F4F3C" w:rsidRDefault="00742EA5" w:rsidP="009043FD">
            <w:pPr>
              <w:jc w:val="center"/>
              <w:rPr>
                <w:rFonts w:ascii="Calibri" w:hAnsi="Calibri" w:cs="Calibri"/>
                <w:color w:val="000000"/>
                <w:sz w:val="20"/>
                <w:szCs w:val="20"/>
              </w:rPr>
            </w:pPr>
            <w:r>
              <w:rPr>
                <w:rFonts w:ascii="Calibri" w:hAnsi="Calibri" w:cs="Calibri"/>
                <w:color w:val="000000"/>
                <w:sz w:val="20"/>
                <w:szCs w:val="20"/>
              </w:rPr>
              <w:t>*</w:t>
            </w:r>
          </w:p>
        </w:tc>
        <w:tc>
          <w:tcPr>
            <w:tcW w:w="737" w:type="dxa"/>
            <w:tcBorders>
              <w:top w:val="nil"/>
              <w:left w:val="nil"/>
              <w:bottom w:val="single" w:sz="4" w:space="0" w:color="8EA9DB"/>
              <w:right w:val="nil"/>
            </w:tcBorders>
            <w:vAlign w:val="bottom"/>
          </w:tcPr>
          <w:p w14:paraId="108FFC7D" w14:textId="29157740" w:rsidR="009043FD" w:rsidRPr="004F4F3C" w:rsidRDefault="009043FD" w:rsidP="009043FD">
            <w:pPr>
              <w:jc w:val="center"/>
              <w:rPr>
                <w:rFonts w:ascii="Calibri" w:hAnsi="Calibri" w:cs="Calibri"/>
                <w:color w:val="000000"/>
                <w:sz w:val="20"/>
                <w:szCs w:val="20"/>
              </w:rPr>
            </w:pPr>
            <w:r w:rsidRPr="004F4F3C">
              <w:rPr>
                <w:rFonts w:ascii="Calibri" w:hAnsi="Calibri" w:cs="Calibri"/>
                <w:color w:val="000000"/>
                <w:sz w:val="20"/>
                <w:szCs w:val="20"/>
              </w:rPr>
              <w:t>4.4%</w:t>
            </w:r>
          </w:p>
        </w:tc>
        <w:tc>
          <w:tcPr>
            <w:tcW w:w="737" w:type="dxa"/>
            <w:tcBorders>
              <w:top w:val="nil"/>
              <w:left w:val="nil"/>
              <w:bottom w:val="single" w:sz="4" w:space="0" w:color="8EA9DB"/>
              <w:right w:val="nil"/>
            </w:tcBorders>
            <w:shd w:val="clear" w:color="auto" w:fill="auto"/>
            <w:noWrap/>
            <w:vAlign w:val="bottom"/>
          </w:tcPr>
          <w:p w14:paraId="733312CA" w14:textId="5463F970" w:rsidR="009043FD" w:rsidRPr="004F4F3C" w:rsidRDefault="00D60F6B" w:rsidP="009043FD">
            <w:pPr>
              <w:jc w:val="center"/>
              <w:rPr>
                <w:rFonts w:ascii="Calibri" w:hAnsi="Calibri" w:cs="Calibri"/>
                <w:color w:val="000000"/>
                <w:sz w:val="20"/>
                <w:szCs w:val="20"/>
              </w:rPr>
            </w:pPr>
            <w:r>
              <w:rPr>
                <w:rFonts w:ascii="Calibri" w:hAnsi="Calibri" w:cs="Calibri"/>
                <w:color w:val="000000"/>
                <w:sz w:val="20"/>
                <w:szCs w:val="20"/>
              </w:rPr>
              <w:t>6</w:t>
            </w:r>
          </w:p>
        </w:tc>
        <w:tc>
          <w:tcPr>
            <w:tcW w:w="737" w:type="dxa"/>
            <w:tcBorders>
              <w:top w:val="nil"/>
              <w:left w:val="nil"/>
              <w:bottom w:val="single" w:sz="4" w:space="0" w:color="8EA9DB"/>
              <w:right w:val="nil"/>
            </w:tcBorders>
            <w:vAlign w:val="bottom"/>
          </w:tcPr>
          <w:p w14:paraId="412E36CA" w14:textId="4947E5C5" w:rsidR="009043FD" w:rsidRPr="004F4F3C" w:rsidRDefault="009043FD" w:rsidP="009043FD">
            <w:pPr>
              <w:jc w:val="center"/>
              <w:rPr>
                <w:rFonts w:ascii="Calibri" w:hAnsi="Calibri" w:cs="Calibri"/>
                <w:color w:val="000000"/>
                <w:sz w:val="20"/>
                <w:szCs w:val="20"/>
              </w:rPr>
            </w:pPr>
            <w:r w:rsidRPr="004F4F3C">
              <w:rPr>
                <w:rFonts w:ascii="Calibri" w:hAnsi="Calibri" w:cs="Calibri"/>
                <w:color w:val="000000"/>
                <w:sz w:val="20"/>
                <w:szCs w:val="20"/>
              </w:rPr>
              <w:t>5.3%</w:t>
            </w:r>
          </w:p>
        </w:tc>
      </w:tr>
      <w:tr w:rsidR="009043FD" w14:paraId="1567023C" w14:textId="39FEF4D7" w:rsidTr="00556278">
        <w:trPr>
          <w:trHeight w:val="300"/>
        </w:trPr>
        <w:tc>
          <w:tcPr>
            <w:tcW w:w="3436" w:type="dxa"/>
            <w:tcBorders>
              <w:top w:val="nil"/>
              <w:left w:val="nil"/>
              <w:bottom w:val="single" w:sz="4" w:space="0" w:color="8EA9DB"/>
              <w:right w:val="nil"/>
            </w:tcBorders>
            <w:shd w:val="clear" w:color="auto" w:fill="auto"/>
            <w:noWrap/>
            <w:vAlign w:val="bottom"/>
            <w:hideMark/>
          </w:tcPr>
          <w:p w14:paraId="7C3756C1" w14:textId="77777777" w:rsidR="009043FD" w:rsidRPr="004F4F3C" w:rsidRDefault="009043FD" w:rsidP="009043FD">
            <w:pPr>
              <w:rPr>
                <w:rFonts w:ascii="Calibri" w:hAnsi="Calibri" w:cs="Calibri"/>
                <w:color w:val="000000"/>
                <w:sz w:val="20"/>
                <w:szCs w:val="20"/>
              </w:rPr>
            </w:pPr>
            <w:r w:rsidRPr="004F4F3C">
              <w:rPr>
                <w:rFonts w:ascii="Calibri" w:hAnsi="Calibri" w:cs="Calibri"/>
                <w:color w:val="000000"/>
                <w:sz w:val="20"/>
                <w:szCs w:val="20"/>
              </w:rPr>
              <w:t>DiTs &amp; Fellows</w:t>
            </w:r>
          </w:p>
        </w:tc>
        <w:tc>
          <w:tcPr>
            <w:tcW w:w="737" w:type="dxa"/>
            <w:tcBorders>
              <w:top w:val="nil"/>
              <w:left w:val="nil"/>
              <w:bottom w:val="single" w:sz="4" w:space="0" w:color="8EA9DB"/>
              <w:right w:val="nil"/>
            </w:tcBorders>
            <w:shd w:val="clear" w:color="auto" w:fill="auto"/>
            <w:noWrap/>
            <w:vAlign w:val="bottom"/>
          </w:tcPr>
          <w:p w14:paraId="72082A8A" w14:textId="3B63D370" w:rsidR="009043FD" w:rsidRPr="004F4F3C" w:rsidRDefault="00347055" w:rsidP="009043FD">
            <w:pPr>
              <w:jc w:val="center"/>
              <w:rPr>
                <w:rFonts w:ascii="Calibri" w:hAnsi="Calibri" w:cs="Calibri"/>
                <w:color w:val="000000"/>
                <w:sz w:val="20"/>
                <w:szCs w:val="20"/>
              </w:rPr>
            </w:pPr>
            <w:r>
              <w:rPr>
                <w:rFonts w:ascii="Calibri" w:hAnsi="Calibri" w:cs="Calibri"/>
                <w:color w:val="000000"/>
                <w:sz w:val="20"/>
                <w:szCs w:val="20"/>
              </w:rPr>
              <w:t>710</w:t>
            </w:r>
          </w:p>
        </w:tc>
        <w:tc>
          <w:tcPr>
            <w:tcW w:w="737" w:type="dxa"/>
            <w:tcBorders>
              <w:top w:val="nil"/>
              <w:left w:val="nil"/>
              <w:bottom w:val="single" w:sz="4" w:space="0" w:color="8EA9DB"/>
              <w:right w:val="nil"/>
            </w:tcBorders>
            <w:vAlign w:val="bottom"/>
          </w:tcPr>
          <w:p w14:paraId="1EDF7D83" w14:textId="6B18B1C0" w:rsidR="009043FD" w:rsidRPr="004F4F3C" w:rsidRDefault="009043FD" w:rsidP="009043FD">
            <w:pPr>
              <w:jc w:val="center"/>
              <w:rPr>
                <w:rFonts w:ascii="Calibri" w:hAnsi="Calibri" w:cs="Calibri"/>
                <w:color w:val="000000"/>
                <w:sz w:val="20"/>
                <w:szCs w:val="20"/>
              </w:rPr>
            </w:pPr>
            <w:r w:rsidRPr="004F4F3C">
              <w:rPr>
                <w:rFonts w:ascii="Calibri" w:hAnsi="Calibri" w:cs="Calibri"/>
                <w:color w:val="000000"/>
                <w:sz w:val="20"/>
                <w:szCs w:val="20"/>
              </w:rPr>
              <w:t>43.8%</w:t>
            </w:r>
          </w:p>
        </w:tc>
        <w:tc>
          <w:tcPr>
            <w:tcW w:w="737" w:type="dxa"/>
            <w:tcBorders>
              <w:top w:val="nil"/>
              <w:left w:val="nil"/>
              <w:bottom w:val="single" w:sz="4" w:space="0" w:color="8EA9DB"/>
              <w:right w:val="nil"/>
            </w:tcBorders>
            <w:shd w:val="clear" w:color="auto" w:fill="auto"/>
            <w:noWrap/>
            <w:vAlign w:val="bottom"/>
          </w:tcPr>
          <w:p w14:paraId="3E54D6DC" w14:textId="75E656E6" w:rsidR="009043FD" w:rsidRPr="004F4F3C" w:rsidRDefault="00D936CF" w:rsidP="009043FD">
            <w:pPr>
              <w:jc w:val="center"/>
              <w:rPr>
                <w:rFonts w:ascii="Calibri" w:hAnsi="Calibri" w:cs="Calibri"/>
                <w:color w:val="000000"/>
                <w:sz w:val="20"/>
                <w:szCs w:val="20"/>
              </w:rPr>
            </w:pPr>
            <w:r>
              <w:rPr>
                <w:rFonts w:ascii="Calibri" w:hAnsi="Calibri" w:cs="Calibri"/>
                <w:color w:val="000000"/>
                <w:sz w:val="20"/>
                <w:szCs w:val="20"/>
              </w:rPr>
              <w:t>126</w:t>
            </w:r>
          </w:p>
        </w:tc>
        <w:tc>
          <w:tcPr>
            <w:tcW w:w="737" w:type="dxa"/>
            <w:tcBorders>
              <w:top w:val="nil"/>
              <w:left w:val="nil"/>
              <w:bottom w:val="single" w:sz="4" w:space="0" w:color="8EA9DB"/>
              <w:right w:val="nil"/>
            </w:tcBorders>
            <w:vAlign w:val="bottom"/>
          </w:tcPr>
          <w:p w14:paraId="3836DF3F" w14:textId="4276BB3F" w:rsidR="009043FD" w:rsidRPr="004F4F3C" w:rsidRDefault="009043FD" w:rsidP="009043FD">
            <w:pPr>
              <w:jc w:val="center"/>
              <w:rPr>
                <w:rFonts w:ascii="Calibri" w:hAnsi="Calibri" w:cs="Calibri"/>
                <w:color w:val="000000"/>
                <w:sz w:val="20"/>
                <w:szCs w:val="20"/>
              </w:rPr>
            </w:pPr>
            <w:r w:rsidRPr="004F4F3C">
              <w:rPr>
                <w:rFonts w:ascii="Calibri" w:hAnsi="Calibri" w:cs="Calibri"/>
                <w:color w:val="000000"/>
                <w:sz w:val="20"/>
                <w:szCs w:val="20"/>
              </w:rPr>
              <w:t>7.8%</w:t>
            </w:r>
          </w:p>
        </w:tc>
        <w:tc>
          <w:tcPr>
            <w:tcW w:w="737" w:type="dxa"/>
            <w:tcBorders>
              <w:top w:val="nil"/>
              <w:left w:val="nil"/>
              <w:bottom w:val="single" w:sz="4" w:space="0" w:color="8EA9DB"/>
              <w:right w:val="nil"/>
            </w:tcBorders>
            <w:shd w:val="clear" w:color="auto" w:fill="auto"/>
            <w:noWrap/>
            <w:vAlign w:val="bottom"/>
          </w:tcPr>
          <w:p w14:paraId="57C390F5" w14:textId="4D499355" w:rsidR="009043FD" w:rsidRPr="004F4F3C" w:rsidRDefault="00742EA5" w:rsidP="009043FD">
            <w:pPr>
              <w:jc w:val="center"/>
              <w:rPr>
                <w:rFonts w:ascii="Calibri" w:hAnsi="Calibri" w:cs="Calibri"/>
                <w:color w:val="000000"/>
                <w:sz w:val="20"/>
                <w:szCs w:val="20"/>
              </w:rPr>
            </w:pPr>
            <w:r>
              <w:rPr>
                <w:rFonts w:ascii="Calibri" w:hAnsi="Calibri" w:cs="Calibri"/>
                <w:color w:val="000000"/>
                <w:sz w:val="20"/>
                <w:szCs w:val="20"/>
              </w:rPr>
              <w:t>291</w:t>
            </w:r>
          </w:p>
        </w:tc>
        <w:tc>
          <w:tcPr>
            <w:tcW w:w="737" w:type="dxa"/>
            <w:tcBorders>
              <w:top w:val="nil"/>
              <w:left w:val="nil"/>
              <w:bottom w:val="single" w:sz="4" w:space="0" w:color="8EA9DB"/>
              <w:right w:val="nil"/>
            </w:tcBorders>
            <w:vAlign w:val="bottom"/>
          </w:tcPr>
          <w:p w14:paraId="1CD4949E" w14:textId="378CA592" w:rsidR="009043FD" w:rsidRPr="004F4F3C" w:rsidRDefault="009043FD" w:rsidP="009043FD">
            <w:pPr>
              <w:jc w:val="center"/>
              <w:rPr>
                <w:rFonts w:ascii="Calibri" w:hAnsi="Calibri" w:cs="Calibri"/>
                <w:color w:val="000000"/>
                <w:sz w:val="20"/>
                <w:szCs w:val="20"/>
              </w:rPr>
            </w:pPr>
            <w:r w:rsidRPr="004F4F3C">
              <w:rPr>
                <w:rFonts w:ascii="Calibri" w:hAnsi="Calibri" w:cs="Calibri"/>
                <w:color w:val="000000"/>
                <w:sz w:val="20"/>
                <w:szCs w:val="20"/>
              </w:rPr>
              <w:t>17.9%</w:t>
            </w:r>
          </w:p>
        </w:tc>
        <w:tc>
          <w:tcPr>
            <w:tcW w:w="737" w:type="dxa"/>
            <w:tcBorders>
              <w:top w:val="nil"/>
              <w:left w:val="nil"/>
              <w:bottom w:val="single" w:sz="4" w:space="0" w:color="8EA9DB"/>
              <w:right w:val="nil"/>
            </w:tcBorders>
            <w:shd w:val="clear" w:color="auto" w:fill="auto"/>
            <w:noWrap/>
            <w:vAlign w:val="bottom"/>
          </w:tcPr>
          <w:p w14:paraId="049CFB72" w14:textId="209D9033" w:rsidR="009043FD" w:rsidRPr="004F4F3C" w:rsidRDefault="00D60F6B" w:rsidP="009043FD">
            <w:pPr>
              <w:jc w:val="center"/>
              <w:rPr>
                <w:rFonts w:ascii="Calibri" w:hAnsi="Calibri" w:cs="Calibri"/>
                <w:color w:val="000000"/>
                <w:sz w:val="20"/>
                <w:szCs w:val="20"/>
              </w:rPr>
            </w:pPr>
            <w:r>
              <w:rPr>
                <w:rFonts w:ascii="Calibri" w:hAnsi="Calibri" w:cs="Calibri"/>
                <w:color w:val="000000"/>
                <w:sz w:val="20"/>
                <w:szCs w:val="20"/>
              </w:rPr>
              <w:t>496</w:t>
            </w:r>
          </w:p>
        </w:tc>
        <w:tc>
          <w:tcPr>
            <w:tcW w:w="737" w:type="dxa"/>
            <w:tcBorders>
              <w:top w:val="nil"/>
              <w:left w:val="nil"/>
              <w:bottom w:val="single" w:sz="4" w:space="0" w:color="8EA9DB"/>
              <w:right w:val="nil"/>
            </w:tcBorders>
            <w:vAlign w:val="bottom"/>
          </w:tcPr>
          <w:p w14:paraId="0503AE75" w14:textId="6646A289" w:rsidR="009043FD" w:rsidRPr="004F4F3C" w:rsidRDefault="009043FD" w:rsidP="009043FD">
            <w:pPr>
              <w:jc w:val="center"/>
              <w:rPr>
                <w:rFonts w:ascii="Calibri" w:hAnsi="Calibri" w:cs="Calibri"/>
                <w:color w:val="000000"/>
                <w:sz w:val="20"/>
                <w:szCs w:val="20"/>
              </w:rPr>
            </w:pPr>
            <w:r w:rsidRPr="004F4F3C">
              <w:rPr>
                <w:rFonts w:ascii="Calibri" w:hAnsi="Calibri" w:cs="Calibri"/>
                <w:color w:val="000000"/>
                <w:sz w:val="20"/>
                <w:szCs w:val="20"/>
              </w:rPr>
              <w:t>30.5%</w:t>
            </w:r>
          </w:p>
        </w:tc>
      </w:tr>
      <w:tr w:rsidR="009043FD" w14:paraId="42608B20" w14:textId="5A0B8520" w:rsidTr="00556278">
        <w:trPr>
          <w:trHeight w:val="300"/>
        </w:trPr>
        <w:tc>
          <w:tcPr>
            <w:tcW w:w="3436" w:type="dxa"/>
            <w:tcBorders>
              <w:top w:val="single" w:sz="4" w:space="0" w:color="8EA9DB"/>
              <w:left w:val="nil"/>
              <w:bottom w:val="nil"/>
              <w:right w:val="nil"/>
            </w:tcBorders>
            <w:shd w:val="clear" w:color="D9E1F2" w:fill="D9E1F2"/>
            <w:noWrap/>
            <w:vAlign w:val="bottom"/>
            <w:hideMark/>
          </w:tcPr>
          <w:p w14:paraId="2BCD65A8" w14:textId="77777777" w:rsidR="009043FD" w:rsidRPr="004F4F3C" w:rsidRDefault="009043FD" w:rsidP="009043FD">
            <w:pPr>
              <w:rPr>
                <w:rFonts w:ascii="Calibri" w:hAnsi="Calibri" w:cs="Calibri"/>
                <w:b/>
                <w:bCs/>
                <w:color w:val="000000"/>
                <w:sz w:val="20"/>
                <w:szCs w:val="20"/>
              </w:rPr>
            </w:pPr>
            <w:r w:rsidRPr="004F4F3C">
              <w:rPr>
                <w:rFonts w:ascii="Calibri" w:hAnsi="Calibri" w:cs="Calibri"/>
                <w:b/>
                <w:bCs/>
                <w:color w:val="000000"/>
                <w:sz w:val="20"/>
                <w:szCs w:val="20"/>
              </w:rPr>
              <w:t>Grand Total</w:t>
            </w:r>
          </w:p>
        </w:tc>
        <w:tc>
          <w:tcPr>
            <w:tcW w:w="737" w:type="dxa"/>
            <w:tcBorders>
              <w:top w:val="single" w:sz="4" w:space="0" w:color="8EA9DB"/>
              <w:left w:val="nil"/>
              <w:bottom w:val="nil"/>
              <w:right w:val="nil"/>
            </w:tcBorders>
            <w:shd w:val="clear" w:color="D9E1F2" w:fill="D9E1F2"/>
            <w:noWrap/>
            <w:vAlign w:val="bottom"/>
          </w:tcPr>
          <w:p w14:paraId="01C197CE" w14:textId="43DCDFE6" w:rsidR="009043FD" w:rsidRPr="004F4F3C" w:rsidRDefault="00347055" w:rsidP="009043FD">
            <w:pPr>
              <w:jc w:val="center"/>
              <w:rPr>
                <w:rFonts w:ascii="Calibri" w:hAnsi="Calibri" w:cs="Calibri"/>
                <w:b/>
                <w:bCs/>
                <w:color w:val="000000"/>
                <w:sz w:val="20"/>
                <w:szCs w:val="20"/>
              </w:rPr>
            </w:pPr>
            <w:r>
              <w:rPr>
                <w:rFonts w:ascii="Calibri" w:hAnsi="Calibri" w:cs="Calibri"/>
                <w:b/>
                <w:bCs/>
                <w:color w:val="000000"/>
                <w:sz w:val="20"/>
                <w:szCs w:val="20"/>
              </w:rPr>
              <w:t>1,417</w:t>
            </w:r>
          </w:p>
        </w:tc>
        <w:tc>
          <w:tcPr>
            <w:tcW w:w="737" w:type="dxa"/>
            <w:tcBorders>
              <w:top w:val="single" w:sz="4" w:space="0" w:color="8EA9DB"/>
              <w:left w:val="nil"/>
              <w:bottom w:val="nil"/>
              <w:right w:val="nil"/>
            </w:tcBorders>
            <w:shd w:val="clear" w:color="D9E1F2" w:fill="D9E1F2"/>
            <w:vAlign w:val="bottom"/>
          </w:tcPr>
          <w:p w14:paraId="6E66C32F" w14:textId="2D67F9C7" w:rsidR="009043FD" w:rsidRPr="004F4F3C" w:rsidRDefault="009043FD" w:rsidP="009043FD">
            <w:pPr>
              <w:jc w:val="center"/>
              <w:rPr>
                <w:rFonts w:ascii="Calibri" w:hAnsi="Calibri" w:cs="Calibri"/>
                <w:b/>
                <w:bCs/>
                <w:color w:val="000000"/>
                <w:sz w:val="20"/>
                <w:szCs w:val="20"/>
              </w:rPr>
            </w:pPr>
            <w:r w:rsidRPr="004F4F3C">
              <w:rPr>
                <w:rFonts w:ascii="Calibri" w:hAnsi="Calibri" w:cs="Calibri"/>
                <w:b/>
                <w:bCs/>
                <w:color w:val="000000"/>
                <w:sz w:val="20"/>
                <w:szCs w:val="20"/>
              </w:rPr>
              <w:t>58.7%</w:t>
            </w:r>
          </w:p>
        </w:tc>
        <w:tc>
          <w:tcPr>
            <w:tcW w:w="737" w:type="dxa"/>
            <w:tcBorders>
              <w:top w:val="single" w:sz="4" w:space="0" w:color="8EA9DB"/>
              <w:left w:val="nil"/>
              <w:bottom w:val="nil"/>
              <w:right w:val="nil"/>
            </w:tcBorders>
            <w:shd w:val="clear" w:color="D9E1F2" w:fill="D9E1F2"/>
            <w:noWrap/>
            <w:vAlign w:val="bottom"/>
          </w:tcPr>
          <w:p w14:paraId="7AE96F08" w14:textId="2A11EBA0" w:rsidR="009043FD" w:rsidRPr="004F4F3C" w:rsidRDefault="005E7CF8" w:rsidP="009043FD">
            <w:pPr>
              <w:jc w:val="center"/>
              <w:rPr>
                <w:rFonts w:ascii="Calibri" w:hAnsi="Calibri" w:cs="Calibri"/>
                <w:b/>
                <w:bCs/>
                <w:color w:val="000000"/>
                <w:sz w:val="20"/>
                <w:szCs w:val="20"/>
              </w:rPr>
            </w:pPr>
            <w:r>
              <w:rPr>
                <w:rFonts w:ascii="Calibri" w:hAnsi="Calibri" w:cs="Calibri"/>
                <w:b/>
                <w:bCs/>
                <w:color w:val="000000"/>
                <w:sz w:val="20"/>
                <w:szCs w:val="20"/>
              </w:rPr>
              <w:t>181</w:t>
            </w:r>
          </w:p>
        </w:tc>
        <w:tc>
          <w:tcPr>
            <w:tcW w:w="737" w:type="dxa"/>
            <w:tcBorders>
              <w:top w:val="single" w:sz="4" w:space="0" w:color="8EA9DB"/>
              <w:left w:val="nil"/>
              <w:bottom w:val="nil"/>
              <w:right w:val="nil"/>
            </w:tcBorders>
            <w:shd w:val="clear" w:color="D9E1F2" w:fill="D9E1F2"/>
            <w:vAlign w:val="bottom"/>
          </w:tcPr>
          <w:p w14:paraId="72082948" w14:textId="5FFA3441" w:rsidR="009043FD" w:rsidRPr="004F4F3C" w:rsidRDefault="009043FD" w:rsidP="009043FD">
            <w:pPr>
              <w:jc w:val="center"/>
              <w:rPr>
                <w:rFonts w:ascii="Calibri" w:hAnsi="Calibri" w:cs="Calibri"/>
                <w:b/>
                <w:bCs/>
                <w:color w:val="000000"/>
                <w:sz w:val="20"/>
                <w:szCs w:val="20"/>
              </w:rPr>
            </w:pPr>
            <w:r w:rsidRPr="004F4F3C">
              <w:rPr>
                <w:rFonts w:ascii="Calibri" w:hAnsi="Calibri" w:cs="Calibri"/>
                <w:b/>
                <w:bCs/>
                <w:color w:val="000000"/>
                <w:sz w:val="20"/>
                <w:szCs w:val="20"/>
              </w:rPr>
              <w:t>7.3%</w:t>
            </w:r>
          </w:p>
        </w:tc>
        <w:tc>
          <w:tcPr>
            <w:tcW w:w="737" w:type="dxa"/>
            <w:tcBorders>
              <w:top w:val="single" w:sz="4" w:space="0" w:color="8EA9DB"/>
              <w:left w:val="nil"/>
              <w:bottom w:val="nil"/>
              <w:right w:val="nil"/>
            </w:tcBorders>
            <w:shd w:val="clear" w:color="D9E1F2" w:fill="D9E1F2"/>
            <w:noWrap/>
            <w:vAlign w:val="bottom"/>
          </w:tcPr>
          <w:p w14:paraId="685584C3" w14:textId="31A58610" w:rsidR="009043FD" w:rsidRPr="004F4F3C" w:rsidRDefault="009043FD" w:rsidP="009043FD">
            <w:pPr>
              <w:jc w:val="center"/>
              <w:rPr>
                <w:rFonts w:ascii="Calibri" w:hAnsi="Calibri" w:cs="Calibri"/>
                <w:b/>
                <w:bCs/>
                <w:color w:val="000000"/>
                <w:sz w:val="20"/>
                <w:szCs w:val="20"/>
              </w:rPr>
            </w:pPr>
          </w:p>
        </w:tc>
        <w:tc>
          <w:tcPr>
            <w:tcW w:w="737" w:type="dxa"/>
            <w:tcBorders>
              <w:top w:val="single" w:sz="4" w:space="0" w:color="8EA9DB"/>
              <w:left w:val="nil"/>
              <w:bottom w:val="nil"/>
              <w:right w:val="nil"/>
            </w:tcBorders>
            <w:shd w:val="clear" w:color="D9E1F2" w:fill="D9E1F2"/>
            <w:vAlign w:val="bottom"/>
          </w:tcPr>
          <w:p w14:paraId="61EC560F" w14:textId="29B8AB48" w:rsidR="009043FD" w:rsidRPr="004F4F3C" w:rsidRDefault="009043FD" w:rsidP="009043FD">
            <w:pPr>
              <w:jc w:val="center"/>
              <w:rPr>
                <w:rFonts w:ascii="Calibri" w:hAnsi="Calibri" w:cs="Calibri"/>
                <w:b/>
                <w:bCs/>
                <w:color w:val="000000"/>
                <w:sz w:val="20"/>
                <w:szCs w:val="20"/>
              </w:rPr>
            </w:pPr>
            <w:r w:rsidRPr="004F4F3C">
              <w:rPr>
                <w:rFonts w:ascii="Calibri" w:hAnsi="Calibri" w:cs="Calibri"/>
                <w:b/>
                <w:bCs/>
                <w:color w:val="000000"/>
                <w:sz w:val="20"/>
                <w:szCs w:val="20"/>
              </w:rPr>
              <w:t>13.2%</w:t>
            </w:r>
          </w:p>
        </w:tc>
        <w:tc>
          <w:tcPr>
            <w:tcW w:w="737" w:type="dxa"/>
            <w:tcBorders>
              <w:top w:val="single" w:sz="4" w:space="0" w:color="8EA9DB"/>
              <w:left w:val="nil"/>
              <w:bottom w:val="nil"/>
              <w:right w:val="nil"/>
            </w:tcBorders>
            <w:shd w:val="clear" w:color="D9E1F2" w:fill="D9E1F2"/>
            <w:noWrap/>
            <w:vAlign w:val="bottom"/>
          </w:tcPr>
          <w:p w14:paraId="33D30B2D" w14:textId="703CF894" w:rsidR="009043FD" w:rsidRPr="004F4F3C" w:rsidRDefault="009043FD" w:rsidP="009043FD">
            <w:pPr>
              <w:jc w:val="center"/>
              <w:rPr>
                <w:rFonts w:ascii="Calibri" w:hAnsi="Calibri" w:cs="Calibri"/>
                <w:b/>
                <w:bCs/>
                <w:color w:val="000000"/>
                <w:sz w:val="20"/>
                <w:szCs w:val="20"/>
              </w:rPr>
            </w:pPr>
          </w:p>
        </w:tc>
        <w:tc>
          <w:tcPr>
            <w:tcW w:w="737" w:type="dxa"/>
            <w:tcBorders>
              <w:top w:val="single" w:sz="4" w:space="0" w:color="8EA9DB"/>
              <w:left w:val="nil"/>
              <w:bottom w:val="nil"/>
              <w:right w:val="nil"/>
            </w:tcBorders>
            <w:shd w:val="clear" w:color="D9E1F2" w:fill="D9E1F2"/>
            <w:vAlign w:val="bottom"/>
          </w:tcPr>
          <w:p w14:paraId="06FEF63E" w14:textId="3ED65828" w:rsidR="009043FD" w:rsidRPr="004F4F3C" w:rsidRDefault="009043FD" w:rsidP="009043FD">
            <w:pPr>
              <w:jc w:val="center"/>
              <w:rPr>
                <w:rFonts w:ascii="Calibri" w:hAnsi="Calibri" w:cs="Calibri"/>
                <w:b/>
                <w:bCs/>
                <w:color w:val="000000"/>
                <w:sz w:val="20"/>
                <w:szCs w:val="20"/>
              </w:rPr>
            </w:pPr>
            <w:r w:rsidRPr="004F4F3C">
              <w:rPr>
                <w:rFonts w:ascii="Calibri" w:hAnsi="Calibri" w:cs="Calibri"/>
                <w:b/>
                <w:bCs/>
                <w:color w:val="000000"/>
                <w:sz w:val="20"/>
                <w:szCs w:val="20"/>
              </w:rPr>
              <w:t>20.8%</w:t>
            </w:r>
          </w:p>
        </w:tc>
      </w:tr>
    </w:tbl>
    <w:p w14:paraId="359E5943" w14:textId="6B154BD9" w:rsidR="005E7CF8" w:rsidRPr="005A1824" w:rsidRDefault="005E7CF8" w:rsidP="005E7CF8">
      <w:pPr>
        <w:autoSpaceDE w:val="0"/>
        <w:autoSpaceDN w:val="0"/>
        <w:adjustRightInd w:val="0"/>
        <w:spacing w:line="360" w:lineRule="auto"/>
        <w:ind w:left="142"/>
        <w:rPr>
          <w:rFonts w:ascii="Arial" w:eastAsia="Arial" w:hAnsi="Arial" w:cs="Arial"/>
          <w:i/>
          <w:iCs/>
          <w:color w:val="000000" w:themeColor="text1"/>
          <w:sz w:val="20"/>
          <w:szCs w:val="20"/>
        </w:rPr>
      </w:pPr>
      <w:r>
        <w:rPr>
          <w:rFonts w:ascii="Arial" w:eastAsia="Arial" w:hAnsi="Arial" w:cs="Arial"/>
          <w:i/>
          <w:iCs/>
          <w:color w:val="000000" w:themeColor="text1"/>
          <w:sz w:val="20"/>
          <w:szCs w:val="20"/>
        </w:rPr>
        <w:t xml:space="preserve">If the statistical value is less than 5, the number is </w:t>
      </w:r>
      <w:r w:rsidRPr="005A1824">
        <w:rPr>
          <w:rFonts w:ascii="Arial" w:eastAsia="Arial" w:hAnsi="Arial" w:cs="Arial"/>
          <w:i/>
          <w:iCs/>
          <w:color w:val="000000" w:themeColor="text1"/>
          <w:sz w:val="20"/>
          <w:szCs w:val="20"/>
        </w:rPr>
        <w:t>suppressed</w:t>
      </w:r>
      <w:r>
        <w:rPr>
          <w:rFonts w:ascii="Arial" w:eastAsia="Arial" w:hAnsi="Arial" w:cs="Arial"/>
          <w:i/>
          <w:iCs/>
          <w:color w:val="000000" w:themeColor="text1"/>
          <w:sz w:val="20"/>
          <w:szCs w:val="20"/>
        </w:rPr>
        <w:t xml:space="preserve"> and denoted by a * to </w:t>
      </w:r>
      <w:r w:rsidRPr="005A1824">
        <w:rPr>
          <w:rFonts w:ascii="Arial" w:eastAsia="Arial" w:hAnsi="Arial" w:cs="Arial"/>
          <w:i/>
          <w:iCs/>
          <w:color w:val="000000" w:themeColor="text1"/>
          <w:sz w:val="20"/>
          <w:szCs w:val="20"/>
        </w:rPr>
        <w:t>eliminate the risk of identifying individual</w:t>
      </w:r>
      <w:r>
        <w:rPr>
          <w:rFonts w:ascii="Arial" w:eastAsia="Arial" w:hAnsi="Arial" w:cs="Arial"/>
          <w:i/>
          <w:iCs/>
          <w:color w:val="000000" w:themeColor="text1"/>
          <w:sz w:val="20"/>
          <w:szCs w:val="20"/>
        </w:rPr>
        <w:t>s.</w:t>
      </w:r>
    </w:p>
    <w:p w14:paraId="5AFD248F" w14:textId="77777777" w:rsidR="00FE5A47" w:rsidRPr="003B7AD4" w:rsidRDefault="00FE5A47" w:rsidP="00AF0A00">
      <w:pPr>
        <w:autoSpaceDE w:val="0"/>
        <w:autoSpaceDN w:val="0"/>
        <w:adjustRightInd w:val="0"/>
        <w:spacing w:line="360" w:lineRule="auto"/>
        <w:rPr>
          <w:rFonts w:ascii="Arial" w:eastAsia="Arial" w:hAnsi="Arial" w:cs="Arial"/>
          <w:color w:val="000000" w:themeColor="text1"/>
          <w:highlight w:val="yellow"/>
        </w:rPr>
      </w:pPr>
    </w:p>
    <w:p w14:paraId="277FD996" w14:textId="77777777" w:rsidR="00E85259" w:rsidRDefault="00E85259" w:rsidP="00AF0A00">
      <w:pPr>
        <w:autoSpaceDE w:val="0"/>
        <w:autoSpaceDN w:val="0"/>
        <w:adjustRightInd w:val="0"/>
        <w:spacing w:line="360" w:lineRule="auto"/>
        <w:rPr>
          <w:rFonts w:ascii="Arial" w:eastAsia="Arial" w:hAnsi="Arial" w:cs="Arial"/>
          <w:color w:val="000000" w:themeColor="text1"/>
        </w:rPr>
      </w:pPr>
      <w:r w:rsidRPr="00BE3A1B">
        <w:rPr>
          <w:rFonts w:ascii="Arial" w:eastAsia="Arial" w:hAnsi="Arial" w:cs="Arial"/>
          <w:color w:val="000000" w:themeColor="text1"/>
        </w:rPr>
        <w:t>Small numbers make it difficult to draw any definitive conclusions about patterns of horizontal occupational segregation based on analysis of ethnic origin and occupational group. There is some indication that there is greater ethnic diversity in the areas of Information Systems/Technology, Human Resources, and Education.</w:t>
      </w:r>
    </w:p>
    <w:p w14:paraId="277FD997" w14:textId="77777777" w:rsidR="00B11D8C" w:rsidRDefault="00B11D8C" w:rsidP="00AF0A00">
      <w:pPr>
        <w:autoSpaceDE w:val="0"/>
        <w:autoSpaceDN w:val="0"/>
        <w:adjustRightInd w:val="0"/>
        <w:spacing w:line="360" w:lineRule="auto"/>
        <w:rPr>
          <w:rFonts w:ascii="Arial" w:hAnsi="Arial" w:cs="Arial"/>
          <w:b/>
          <w:bCs/>
          <w:iCs/>
          <w:color w:val="000000"/>
        </w:rPr>
      </w:pPr>
    </w:p>
    <w:p w14:paraId="277FD998" w14:textId="77777777" w:rsidR="00180A66" w:rsidRPr="00AF0A00" w:rsidRDefault="51E9A9B4" w:rsidP="00AF0A00">
      <w:pPr>
        <w:autoSpaceDE w:val="0"/>
        <w:autoSpaceDN w:val="0"/>
        <w:adjustRightInd w:val="0"/>
        <w:spacing w:line="360" w:lineRule="auto"/>
        <w:rPr>
          <w:rFonts w:ascii="Arial" w:eastAsia="Arial" w:hAnsi="Arial" w:cs="Arial"/>
          <w:b/>
          <w:bCs/>
          <w:color w:val="000000" w:themeColor="text1"/>
          <w:sz w:val="28"/>
        </w:rPr>
      </w:pPr>
      <w:r w:rsidRPr="00AF0A00">
        <w:rPr>
          <w:rFonts w:ascii="Arial" w:eastAsia="Arial" w:hAnsi="Arial" w:cs="Arial"/>
          <w:b/>
          <w:bCs/>
          <w:color w:val="000000" w:themeColor="text1"/>
          <w:sz w:val="28"/>
        </w:rPr>
        <w:t xml:space="preserve">Summary </w:t>
      </w:r>
    </w:p>
    <w:p w14:paraId="277FD999" w14:textId="77777777" w:rsidR="004079FB" w:rsidRPr="008C48EC" w:rsidRDefault="004079FB" w:rsidP="00AF0A00">
      <w:pPr>
        <w:autoSpaceDE w:val="0"/>
        <w:autoSpaceDN w:val="0"/>
        <w:adjustRightInd w:val="0"/>
        <w:spacing w:line="360" w:lineRule="auto"/>
        <w:rPr>
          <w:rFonts w:ascii="Arial" w:hAnsi="Arial" w:cs="Arial"/>
          <w:color w:val="000000"/>
        </w:rPr>
      </w:pPr>
    </w:p>
    <w:p w14:paraId="277FD99A" w14:textId="0A32F9A2" w:rsidR="0048050D" w:rsidRPr="005F7A29" w:rsidRDefault="00047516" w:rsidP="0079636F">
      <w:pPr>
        <w:autoSpaceDE w:val="0"/>
        <w:autoSpaceDN w:val="0"/>
        <w:adjustRightInd w:val="0"/>
        <w:spacing w:line="360" w:lineRule="auto"/>
        <w:rPr>
          <w:rFonts w:ascii="Arial" w:eastAsia="Arial" w:hAnsi="Arial" w:cs="Arial"/>
          <w:color w:val="000000" w:themeColor="text1"/>
        </w:rPr>
      </w:pPr>
      <w:r w:rsidRPr="005F7A29">
        <w:rPr>
          <w:rFonts w:ascii="Arial" w:eastAsia="Arial" w:hAnsi="Arial" w:cs="Arial"/>
          <w:color w:val="000000" w:themeColor="text1"/>
        </w:rPr>
        <w:t xml:space="preserve">Our pay gap and occupational segregation analysis highlights that </w:t>
      </w:r>
      <w:r w:rsidR="51E9A9B4" w:rsidRPr="005F7A29">
        <w:rPr>
          <w:rFonts w:ascii="Arial" w:eastAsia="Arial" w:hAnsi="Arial" w:cs="Arial"/>
          <w:color w:val="000000" w:themeColor="text1"/>
        </w:rPr>
        <w:t xml:space="preserve">NES has a predominantly female </w:t>
      </w:r>
      <w:r w:rsidR="0079636F">
        <w:rPr>
          <w:rFonts w:ascii="Arial" w:eastAsia="Arial" w:hAnsi="Arial" w:cs="Arial"/>
          <w:color w:val="000000" w:themeColor="text1"/>
        </w:rPr>
        <w:t>workforce, and that a substantial proportion of women working for NES work less than full time.</w:t>
      </w:r>
    </w:p>
    <w:p w14:paraId="277FD99B" w14:textId="77777777" w:rsidR="0048050D" w:rsidRPr="005F7A29" w:rsidRDefault="0048050D" w:rsidP="00AF0A00">
      <w:pPr>
        <w:autoSpaceDE w:val="0"/>
        <w:autoSpaceDN w:val="0"/>
        <w:adjustRightInd w:val="0"/>
        <w:spacing w:line="360" w:lineRule="auto"/>
        <w:rPr>
          <w:rFonts w:ascii="Arial" w:hAnsi="Arial" w:cs="Arial"/>
          <w:color w:val="000000"/>
        </w:rPr>
      </w:pPr>
    </w:p>
    <w:p w14:paraId="15068123" w14:textId="001BB6AF" w:rsidR="0030227D" w:rsidRDefault="51E9A9B4" w:rsidP="00AF0A00">
      <w:pPr>
        <w:autoSpaceDE w:val="0"/>
        <w:autoSpaceDN w:val="0"/>
        <w:adjustRightInd w:val="0"/>
        <w:spacing w:line="360" w:lineRule="auto"/>
        <w:rPr>
          <w:rFonts w:ascii="Arial" w:eastAsia="Arial" w:hAnsi="Arial" w:cs="Arial"/>
          <w:color w:val="000000" w:themeColor="text1"/>
        </w:rPr>
      </w:pPr>
      <w:r w:rsidRPr="005F7A29">
        <w:rPr>
          <w:rFonts w:ascii="Arial" w:eastAsia="Arial" w:hAnsi="Arial" w:cs="Arial"/>
          <w:color w:val="000000" w:themeColor="text1"/>
        </w:rPr>
        <w:t xml:space="preserve">There is some evidence of gender occupational segregation within NES. </w:t>
      </w:r>
      <w:r w:rsidR="00A26782">
        <w:rPr>
          <w:rFonts w:ascii="Arial" w:eastAsia="Arial" w:hAnsi="Arial" w:cs="Arial"/>
          <w:color w:val="000000" w:themeColor="text1"/>
        </w:rPr>
        <w:t xml:space="preserve">Women are more numerous in most administrative roles; men occupy about </w:t>
      </w:r>
      <w:r w:rsidR="00A5549B">
        <w:rPr>
          <w:rFonts w:ascii="Arial" w:eastAsia="Arial" w:hAnsi="Arial" w:cs="Arial"/>
          <w:color w:val="000000" w:themeColor="text1"/>
        </w:rPr>
        <w:t>two thirds</w:t>
      </w:r>
      <w:r w:rsidR="00701E95">
        <w:rPr>
          <w:rFonts w:ascii="Arial" w:eastAsia="Arial" w:hAnsi="Arial" w:cs="Arial"/>
          <w:color w:val="000000" w:themeColor="text1"/>
        </w:rPr>
        <w:t xml:space="preserve"> of Digital roles and th</w:t>
      </w:r>
      <w:r w:rsidR="004E5EFA">
        <w:rPr>
          <w:rFonts w:ascii="Arial" w:eastAsia="Arial" w:hAnsi="Arial" w:cs="Arial"/>
          <w:color w:val="000000" w:themeColor="text1"/>
        </w:rPr>
        <w:t>e</w:t>
      </w:r>
      <w:r w:rsidR="00904B63">
        <w:rPr>
          <w:rFonts w:ascii="Arial" w:eastAsia="Arial" w:hAnsi="Arial" w:cs="Arial"/>
          <w:color w:val="000000" w:themeColor="text1"/>
        </w:rPr>
        <w:t xml:space="preserve">re is a high rate of gender occupational segregation in </w:t>
      </w:r>
      <w:r w:rsidR="00701E95">
        <w:rPr>
          <w:rFonts w:ascii="Arial" w:eastAsia="Arial" w:hAnsi="Arial" w:cs="Arial"/>
          <w:color w:val="000000" w:themeColor="text1"/>
        </w:rPr>
        <w:t>educational roles in Nursing, Midwifery, Allied Health</w:t>
      </w:r>
      <w:r w:rsidR="003A53DD">
        <w:rPr>
          <w:rFonts w:ascii="Arial" w:eastAsia="Arial" w:hAnsi="Arial" w:cs="Arial"/>
          <w:color w:val="000000" w:themeColor="text1"/>
        </w:rPr>
        <w:t>, Psychology and Pharmacy</w:t>
      </w:r>
      <w:r w:rsidR="00904B63">
        <w:rPr>
          <w:rFonts w:ascii="Arial" w:eastAsia="Arial" w:hAnsi="Arial" w:cs="Arial"/>
          <w:color w:val="000000" w:themeColor="text1"/>
        </w:rPr>
        <w:t>, where most staff are</w:t>
      </w:r>
      <w:r w:rsidR="003A53DD">
        <w:rPr>
          <w:rFonts w:ascii="Arial" w:eastAsia="Arial" w:hAnsi="Arial" w:cs="Arial"/>
          <w:color w:val="000000" w:themeColor="text1"/>
        </w:rPr>
        <w:t xml:space="preserve"> women.</w:t>
      </w:r>
      <w:r w:rsidR="00904B63">
        <w:rPr>
          <w:rFonts w:ascii="Arial" w:eastAsia="Arial" w:hAnsi="Arial" w:cs="Arial"/>
          <w:color w:val="000000" w:themeColor="text1"/>
        </w:rPr>
        <w:t xml:space="preserve"> </w:t>
      </w:r>
      <w:r w:rsidR="0005447E">
        <w:rPr>
          <w:rFonts w:ascii="Arial" w:eastAsia="Arial" w:hAnsi="Arial" w:cs="Arial"/>
          <w:color w:val="000000" w:themeColor="text1"/>
        </w:rPr>
        <w:t>Following implementation of values based recruitment for NES vacancies</w:t>
      </w:r>
      <w:r w:rsidR="000B28EE">
        <w:rPr>
          <w:rStyle w:val="FootnoteReference"/>
          <w:rFonts w:ascii="Arial" w:eastAsia="Arial" w:hAnsi="Arial" w:cs="Arial"/>
          <w:color w:val="000000" w:themeColor="text1"/>
        </w:rPr>
        <w:footnoteReference w:id="18"/>
      </w:r>
      <w:r w:rsidR="009C0C06">
        <w:rPr>
          <w:rFonts w:ascii="Arial" w:eastAsia="Arial" w:hAnsi="Arial" w:cs="Arial"/>
          <w:color w:val="000000" w:themeColor="text1"/>
        </w:rPr>
        <w:t>, with an increased focus on values and ways of working, we will cont</w:t>
      </w:r>
      <w:r w:rsidR="00C815D6">
        <w:rPr>
          <w:rFonts w:ascii="Arial" w:eastAsia="Arial" w:hAnsi="Arial" w:cs="Arial"/>
          <w:color w:val="000000" w:themeColor="text1"/>
        </w:rPr>
        <w:t>in</w:t>
      </w:r>
      <w:r w:rsidR="009C0C06">
        <w:rPr>
          <w:rFonts w:ascii="Arial" w:eastAsia="Arial" w:hAnsi="Arial" w:cs="Arial"/>
          <w:color w:val="000000" w:themeColor="text1"/>
        </w:rPr>
        <w:t xml:space="preserve">ue to </w:t>
      </w:r>
      <w:r w:rsidR="00C815D6">
        <w:rPr>
          <w:rFonts w:ascii="Arial" w:eastAsia="Arial" w:hAnsi="Arial" w:cs="Arial"/>
          <w:color w:val="000000" w:themeColor="text1"/>
        </w:rPr>
        <w:t>analyse</w:t>
      </w:r>
      <w:r w:rsidR="009C0C06">
        <w:rPr>
          <w:rFonts w:ascii="Arial" w:eastAsia="Arial" w:hAnsi="Arial" w:cs="Arial"/>
          <w:color w:val="000000" w:themeColor="text1"/>
        </w:rPr>
        <w:t xml:space="preserve"> recruitment outcomes and seek feedback from our applicant pool </w:t>
      </w:r>
      <w:r w:rsidR="00C815D6">
        <w:rPr>
          <w:rFonts w:ascii="Arial" w:eastAsia="Arial" w:hAnsi="Arial" w:cs="Arial"/>
          <w:color w:val="000000" w:themeColor="text1"/>
        </w:rPr>
        <w:t xml:space="preserve">to help identify ways in </w:t>
      </w:r>
      <w:r w:rsidR="00C815D6">
        <w:rPr>
          <w:rFonts w:ascii="Arial" w:eastAsia="Arial" w:hAnsi="Arial" w:cs="Arial"/>
          <w:color w:val="000000" w:themeColor="text1"/>
        </w:rPr>
        <w:lastRenderedPageBreak/>
        <w:t>which we can be more effective at reaching</w:t>
      </w:r>
      <w:r w:rsidR="00F2664D">
        <w:rPr>
          <w:rFonts w:ascii="Arial" w:eastAsia="Arial" w:hAnsi="Arial" w:cs="Arial"/>
          <w:color w:val="000000" w:themeColor="text1"/>
        </w:rPr>
        <w:t xml:space="preserve"> a diverse applicant pool</w:t>
      </w:r>
      <w:r w:rsidR="00472D7F">
        <w:rPr>
          <w:rFonts w:ascii="Arial" w:eastAsia="Arial" w:hAnsi="Arial" w:cs="Arial"/>
          <w:color w:val="000000" w:themeColor="text1"/>
        </w:rPr>
        <w:t xml:space="preserve"> </w:t>
      </w:r>
      <w:r w:rsidR="00A42986">
        <w:rPr>
          <w:rFonts w:ascii="Arial" w:eastAsia="Arial" w:hAnsi="Arial" w:cs="Arial"/>
          <w:color w:val="000000" w:themeColor="text1"/>
        </w:rPr>
        <w:t>and</w:t>
      </w:r>
      <w:r w:rsidR="00472D7F">
        <w:rPr>
          <w:rFonts w:ascii="Arial" w:eastAsia="Arial" w:hAnsi="Arial" w:cs="Arial"/>
          <w:color w:val="000000" w:themeColor="text1"/>
        </w:rPr>
        <w:t xml:space="preserve"> </w:t>
      </w:r>
      <w:r w:rsidR="0030227D">
        <w:rPr>
          <w:rFonts w:ascii="Arial" w:eastAsia="Arial" w:hAnsi="Arial" w:cs="Arial"/>
          <w:color w:val="000000" w:themeColor="text1"/>
        </w:rPr>
        <w:t>securing the best talent. We will also</w:t>
      </w:r>
      <w:r w:rsidR="00EE426C">
        <w:rPr>
          <w:rFonts w:ascii="Arial" w:eastAsia="Arial" w:hAnsi="Arial" w:cs="Arial"/>
          <w:color w:val="000000" w:themeColor="text1"/>
        </w:rPr>
        <w:t xml:space="preserve"> continue to monitor the impact of Jobtrain, the portal for NHS Scotland recruitment, along with the NHS Scotland </w:t>
      </w:r>
      <w:r w:rsidR="00CA3AFF">
        <w:rPr>
          <w:rFonts w:ascii="Arial" w:eastAsia="Arial" w:hAnsi="Arial" w:cs="Arial"/>
          <w:color w:val="000000" w:themeColor="text1"/>
        </w:rPr>
        <w:t>C</w:t>
      </w:r>
      <w:r w:rsidR="00EE426C">
        <w:rPr>
          <w:rFonts w:ascii="Arial" w:eastAsia="Arial" w:hAnsi="Arial" w:cs="Arial"/>
          <w:color w:val="000000" w:themeColor="text1"/>
        </w:rPr>
        <w:t xml:space="preserve">areers </w:t>
      </w:r>
      <w:r w:rsidR="00F01583">
        <w:rPr>
          <w:rFonts w:ascii="Arial" w:eastAsia="Arial" w:hAnsi="Arial" w:cs="Arial"/>
          <w:color w:val="000000" w:themeColor="text1"/>
        </w:rPr>
        <w:t>website on our applicant reach and recruitment activity.</w:t>
      </w:r>
    </w:p>
    <w:p w14:paraId="2C0DB7BF" w14:textId="77777777" w:rsidR="0030227D" w:rsidRDefault="0030227D" w:rsidP="00AF0A00">
      <w:pPr>
        <w:autoSpaceDE w:val="0"/>
        <w:autoSpaceDN w:val="0"/>
        <w:adjustRightInd w:val="0"/>
        <w:spacing w:line="360" w:lineRule="auto"/>
        <w:rPr>
          <w:rFonts w:ascii="Arial" w:eastAsia="Arial" w:hAnsi="Arial" w:cs="Arial"/>
          <w:color w:val="000000" w:themeColor="text1"/>
        </w:rPr>
      </w:pPr>
    </w:p>
    <w:p w14:paraId="277FD99C" w14:textId="4506C2E7" w:rsidR="00047516" w:rsidRPr="005F7A29" w:rsidRDefault="0079636F" w:rsidP="00AF0A00">
      <w:pPr>
        <w:autoSpaceDE w:val="0"/>
        <w:autoSpaceDN w:val="0"/>
        <w:adjustRightInd w:val="0"/>
        <w:spacing w:line="360" w:lineRule="auto"/>
        <w:rPr>
          <w:rFonts w:ascii="Arial" w:eastAsia="Arial" w:hAnsi="Arial" w:cs="Arial"/>
          <w:color w:val="000000" w:themeColor="text1"/>
        </w:rPr>
      </w:pPr>
      <w:r>
        <w:rPr>
          <w:rFonts w:ascii="Arial" w:eastAsia="Arial" w:hAnsi="Arial" w:cs="Arial"/>
          <w:color w:val="000000" w:themeColor="text1"/>
        </w:rPr>
        <w:t>The</w:t>
      </w:r>
      <w:r w:rsidR="00904B63">
        <w:rPr>
          <w:rFonts w:ascii="Arial" w:eastAsia="Arial" w:hAnsi="Arial" w:cs="Arial"/>
          <w:color w:val="000000" w:themeColor="text1"/>
        </w:rPr>
        <w:t xml:space="preserve"> gender profile of senior </w:t>
      </w:r>
      <w:r w:rsidR="006A01E6">
        <w:rPr>
          <w:rFonts w:ascii="Arial" w:eastAsia="Arial" w:hAnsi="Arial" w:cs="Arial"/>
          <w:color w:val="000000" w:themeColor="text1"/>
        </w:rPr>
        <w:t>Medical</w:t>
      </w:r>
      <w:r w:rsidR="00904B63">
        <w:rPr>
          <w:rFonts w:ascii="Arial" w:eastAsia="Arial" w:hAnsi="Arial" w:cs="Arial"/>
          <w:color w:val="000000" w:themeColor="text1"/>
        </w:rPr>
        <w:t xml:space="preserve"> and Dental educators has significantly changed in the past four years. </w:t>
      </w:r>
      <w:r w:rsidR="51E9A9B4" w:rsidRPr="005F7A29">
        <w:rPr>
          <w:rFonts w:ascii="Arial" w:eastAsia="Arial" w:hAnsi="Arial" w:cs="Arial"/>
          <w:color w:val="000000" w:themeColor="text1"/>
        </w:rPr>
        <w:t xml:space="preserve">Although NES employs significant numbers of both women and men in educational </w:t>
      </w:r>
      <w:r w:rsidR="00047516" w:rsidRPr="005F7A29">
        <w:rPr>
          <w:rFonts w:ascii="Arial" w:eastAsia="Arial" w:hAnsi="Arial" w:cs="Arial"/>
          <w:color w:val="000000" w:themeColor="text1"/>
        </w:rPr>
        <w:t>roles</w:t>
      </w:r>
      <w:r w:rsidR="51E9A9B4" w:rsidRPr="005F7A29">
        <w:rPr>
          <w:rFonts w:ascii="Arial" w:eastAsia="Arial" w:hAnsi="Arial" w:cs="Arial"/>
          <w:color w:val="000000" w:themeColor="text1"/>
        </w:rPr>
        <w:t xml:space="preserve">, the distribution of women and men in different areas of education reflects wider patterns of the composition of different professional groups in the health care workforce.  </w:t>
      </w:r>
    </w:p>
    <w:p w14:paraId="277FD99D" w14:textId="77777777" w:rsidR="00047516" w:rsidRPr="005F7A29" w:rsidRDefault="00047516" w:rsidP="00AF0A00">
      <w:pPr>
        <w:autoSpaceDE w:val="0"/>
        <w:autoSpaceDN w:val="0"/>
        <w:adjustRightInd w:val="0"/>
        <w:spacing w:line="360" w:lineRule="auto"/>
        <w:rPr>
          <w:rFonts w:ascii="Arial" w:eastAsia="Arial" w:hAnsi="Arial" w:cs="Arial"/>
          <w:color w:val="000000" w:themeColor="text1"/>
        </w:rPr>
      </w:pPr>
    </w:p>
    <w:p w14:paraId="277FD99E" w14:textId="4D426A30" w:rsidR="000D5E58" w:rsidRPr="005F7A29" w:rsidRDefault="51E9A9B4" w:rsidP="00AF0A00">
      <w:pPr>
        <w:autoSpaceDE w:val="0"/>
        <w:autoSpaceDN w:val="0"/>
        <w:adjustRightInd w:val="0"/>
        <w:spacing w:line="360" w:lineRule="auto"/>
        <w:rPr>
          <w:rFonts w:ascii="Arial" w:eastAsia="Arial" w:hAnsi="Arial" w:cs="Arial"/>
          <w:color w:val="000000" w:themeColor="text1"/>
        </w:rPr>
      </w:pPr>
      <w:r w:rsidRPr="005F7A29">
        <w:rPr>
          <w:rFonts w:ascii="Arial" w:eastAsia="Arial" w:hAnsi="Arial" w:cs="Arial"/>
          <w:color w:val="000000" w:themeColor="text1"/>
        </w:rPr>
        <w:t xml:space="preserve">A relatively higher proportion of men are employed at A4C band 7 or higher and a larger number of women in the lower A4C bands, which in NES are primarily administrative roles. </w:t>
      </w:r>
      <w:r w:rsidR="007C5DE8" w:rsidRPr="005F7A29">
        <w:rPr>
          <w:rFonts w:ascii="Arial" w:eastAsia="Arial" w:hAnsi="Arial" w:cs="Arial"/>
          <w:color w:val="000000" w:themeColor="text1"/>
        </w:rPr>
        <w:t xml:space="preserve">The configuration of the NES workforce means that NES lacks many of the </w:t>
      </w:r>
      <w:r w:rsidR="000A58D5">
        <w:rPr>
          <w:rFonts w:ascii="Arial" w:eastAsia="Arial" w:hAnsi="Arial" w:cs="Arial"/>
          <w:color w:val="000000" w:themeColor="text1"/>
        </w:rPr>
        <w:t xml:space="preserve">NHS </w:t>
      </w:r>
      <w:r w:rsidR="007C5DE8" w:rsidRPr="005F7A29">
        <w:rPr>
          <w:rFonts w:ascii="Arial" w:eastAsia="Arial" w:hAnsi="Arial" w:cs="Arial"/>
          <w:color w:val="000000" w:themeColor="text1"/>
        </w:rPr>
        <w:t>roles in fields such as estates and facilities which have traditionally employed men.</w:t>
      </w:r>
    </w:p>
    <w:p w14:paraId="277FD99F" w14:textId="77777777" w:rsidR="008D2311" w:rsidRPr="005F7A29" w:rsidRDefault="008D2311" w:rsidP="00AF0A00">
      <w:pPr>
        <w:autoSpaceDE w:val="0"/>
        <w:autoSpaceDN w:val="0"/>
        <w:adjustRightInd w:val="0"/>
        <w:spacing w:line="360" w:lineRule="auto"/>
        <w:rPr>
          <w:rFonts w:ascii="Arial" w:hAnsi="Arial" w:cs="Arial"/>
          <w:color w:val="000000"/>
        </w:rPr>
      </w:pPr>
    </w:p>
    <w:p w14:paraId="277FD9A0" w14:textId="6FA27B25" w:rsidR="00E816DA" w:rsidRPr="005F7A29" w:rsidRDefault="51E9A9B4" w:rsidP="00AF0A00">
      <w:pPr>
        <w:autoSpaceDE w:val="0"/>
        <w:autoSpaceDN w:val="0"/>
        <w:adjustRightInd w:val="0"/>
        <w:spacing w:line="360" w:lineRule="auto"/>
        <w:rPr>
          <w:rFonts w:ascii="Arial" w:eastAsia="Arial" w:hAnsi="Arial" w:cs="Arial"/>
          <w:color w:val="000000" w:themeColor="text1"/>
        </w:rPr>
      </w:pPr>
      <w:r w:rsidRPr="005F7A29">
        <w:rPr>
          <w:rFonts w:ascii="Arial" w:eastAsia="Arial" w:hAnsi="Arial" w:cs="Arial"/>
          <w:color w:val="000000" w:themeColor="text1"/>
        </w:rPr>
        <w:t>However</w:t>
      </w:r>
      <w:r w:rsidR="007C5DE8" w:rsidRPr="005F7A29">
        <w:rPr>
          <w:rFonts w:ascii="Arial" w:eastAsia="Arial" w:hAnsi="Arial" w:cs="Arial"/>
          <w:color w:val="000000" w:themeColor="text1"/>
        </w:rPr>
        <w:t>,</w:t>
      </w:r>
      <w:r w:rsidRPr="005F7A29">
        <w:rPr>
          <w:rFonts w:ascii="Arial" w:eastAsia="Arial" w:hAnsi="Arial" w:cs="Arial"/>
          <w:color w:val="000000" w:themeColor="text1"/>
        </w:rPr>
        <w:t xml:space="preserve"> NES also shows</w:t>
      </w:r>
      <w:r w:rsidR="007C5DE8" w:rsidRPr="005F7A29">
        <w:rPr>
          <w:rFonts w:ascii="Arial" w:eastAsia="Arial" w:hAnsi="Arial" w:cs="Arial"/>
          <w:color w:val="000000" w:themeColor="text1"/>
        </w:rPr>
        <w:t xml:space="preserve"> employment</w:t>
      </w:r>
      <w:r w:rsidRPr="005F7A29">
        <w:rPr>
          <w:rFonts w:ascii="Arial" w:eastAsia="Arial" w:hAnsi="Arial" w:cs="Arial"/>
          <w:color w:val="000000" w:themeColor="text1"/>
        </w:rPr>
        <w:t xml:space="preserve"> patterns which are not typical of national trends. For example</w:t>
      </w:r>
      <w:r w:rsidR="007C5DE8" w:rsidRPr="005F7A29">
        <w:rPr>
          <w:rFonts w:ascii="Arial" w:eastAsia="Arial" w:hAnsi="Arial" w:cs="Arial"/>
          <w:color w:val="000000" w:themeColor="text1"/>
        </w:rPr>
        <w:t>,</w:t>
      </w:r>
      <w:r w:rsidRPr="005F7A29">
        <w:rPr>
          <w:rFonts w:ascii="Arial" w:eastAsia="Arial" w:hAnsi="Arial" w:cs="Arial"/>
          <w:color w:val="000000" w:themeColor="text1"/>
        </w:rPr>
        <w:t xml:space="preserve"> NES employs a significant number of women in finance roles and</w:t>
      </w:r>
      <w:r w:rsidR="007C5DE8" w:rsidRPr="005F7A29">
        <w:rPr>
          <w:rFonts w:ascii="Arial" w:eastAsia="Arial" w:hAnsi="Arial" w:cs="Arial"/>
          <w:color w:val="000000" w:themeColor="text1"/>
        </w:rPr>
        <w:t xml:space="preserve"> women outnumber men at </w:t>
      </w:r>
      <w:r w:rsidR="000A7122">
        <w:rPr>
          <w:rFonts w:ascii="Arial" w:eastAsia="Arial" w:hAnsi="Arial" w:cs="Arial"/>
          <w:color w:val="000000" w:themeColor="text1"/>
        </w:rPr>
        <w:t>many of the</w:t>
      </w:r>
      <w:r w:rsidR="007C5DE8" w:rsidRPr="005F7A29">
        <w:rPr>
          <w:rFonts w:ascii="Arial" w:eastAsia="Arial" w:hAnsi="Arial" w:cs="Arial"/>
          <w:color w:val="000000" w:themeColor="text1"/>
        </w:rPr>
        <w:t xml:space="preserve"> senior pay grades</w:t>
      </w:r>
      <w:r w:rsidR="000A7122">
        <w:rPr>
          <w:rFonts w:ascii="Arial" w:eastAsia="Arial" w:hAnsi="Arial" w:cs="Arial"/>
          <w:color w:val="000000" w:themeColor="text1"/>
        </w:rPr>
        <w:t xml:space="preserve"> and </w:t>
      </w:r>
      <w:r w:rsidR="008272E5">
        <w:rPr>
          <w:rFonts w:ascii="Arial" w:eastAsia="Arial" w:hAnsi="Arial" w:cs="Arial"/>
          <w:color w:val="000000" w:themeColor="text1"/>
        </w:rPr>
        <w:t xml:space="preserve">are at parity at </w:t>
      </w:r>
      <w:r w:rsidR="007C5DE8" w:rsidRPr="005F7A29">
        <w:rPr>
          <w:rFonts w:ascii="Arial" w:eastAsia="Arial" w:hAnsi="Arial" w:cs="Arial"/>
          <w:color w:val="000000" w:themeColor="text1"/>
        </w:rPr>
        <w:t>Consultant/GP/GDP</w:t>
      </w:r>
      <w:r w:rsidR="008272E5">
        <w:rPr>
          <w:rFonts w:ascii="Arial" w:eastAsia="Arial" w:hAnsi="Arial" w:cs="Arial"/>
          <w:color w:val="000000" w:themeColor="text1"/>
        </w:rPr>
        <w:t xml:space="preserve"> and in the executive cohort.</w:t>
      </w:r>
      <w:r w:rsidR="007C5DE8" w:rsidRPr="005F7A29">
        <w:rPr>
          <w:rFonts w:ascii="Arial" w:eastAsia="Arial" w:hAnsi="Arial" w:cs="Arial"/>
          <w:color w:val="000000" w:themeColor="text1"/>
        </w:rPr>
        <w:t xml:space="preserve"> </w:t>
      </w:r>
      <w:r w:rsidRPr="005F7A29">
        <w:rPr>
          <w:rFonts w:ascii="Arial" w:eastAsia="Arial" w:hAnsi="Arial" w:cs="Arial"/>
          <w:color w:val="000000" w:themeColor="text1"/>
        </w:rPr>
        <w:t xml:space="preserve"> </w:t>
      </w:r>
    </w:p>
    <w:p w14:paraId="277FD9A1" w14:textId="77777777" w:rsidR="007C5DE8" w:rsidRPr="005F7A29" w:rsidRDefault="007C5DE8" w:rsidP="00AF0A00">
      <w:pPr>
        <w:autoSpaceDE w:val="0"/>
        <w:autoSpaceDN w:val="0"/>
        <w:adjustRightInd w:val="0"/>
        <w:spacing w:line="360" w:lineRule="auto"/>
        <w:rPr>
          <w:rFonts w:ascii="Arial" w:hAnsi="Arial" w:cs="Arial"/>
          <w:bCs/>
          <w:iCs/>
          <w:color w:val="000000"/>
        </w:rPr>
      </w:pPr>
    </w:p>
    <w:p w14:paraId="277FD9A2" w14:textId="77777777" w:rsidR="00047516" w:rsidRPr="008C48EC" w:rsidRDefault="00047516" w:rsidP="00AF0A00">
      <w:pPr>
        <w:autoSpaceDE w:val="0"/>
        <w:autoSpaceDN w:val="0"/>
        <w:adjustRightInd w:val="0"/>
        <w:spacing w:line="360" w:lineRule="auto"/>
        <w:rPr>
          <w:rFonts w:ascii="Arial" w:hAnsi="Arial" w:cs="Arial"/>
          <w:bCs/>
          <w:iCs/>
          <w:color w:val="000000"/>
        </w:rPr>
      </w:pPr>
      <w:r w:rsidRPr="005F7A29">
        <w:rPr>
          <w:rFonts w:ascii="Arial" w:hAnsi="Arial" w:cs="Arial"/>
          <w:bCs/>
          <w:iCs/>
          <w:color w:val="000000"/>
        </w:rPr>
        <w:t xml:space="preserve">NES offers flexible working opportunities and there is evidence of staff in a range of roles working </w:t>
      </w:r>
      <w:r w:rsidR="007C5DE8" w:rsidRPr="005F7A29">
        <w:rPr>
          <w:rFonts w:ascii="Arial" w:hAnsi="Arial" w:cs="Arial"/>
          <w:bCs/>
          <w:iCs/>
          <w:color w:val="000000"/>
        </w:rPr>
        <w:t>less than full time</w:t>
      </w:r>
      <w:r w:rsidRPr="005F7A29">
        <w:rPr>
          <w:rFonts w:ascii="Arial" w:hAnsi="Arial" w:cs="Arial"/>
          <w:bCs/>
          <w:iCs/>
          <w:color w:val="000000"/>
        </w:rPr>
        <w:t>.</w:t>
      </w:r>
    </w:p>
    <w:p w14:paraId="277FD9A3" w14:textId="77777777" w:rsidR="00047516" w:rsidRPr="008C48EC" w:rsidRDefault="00047516" w:rsidP="00AF0A00">
      <w:pPr>
        <w:autoSpaceDE w:val="0"/>
        <w:autoSpaceDN w:val="0"/>
        <w:adjustRightInd w:val="0"/>
        <w:spacing w:line="360" w:lineRule="auto"/>
        <w:rPr>
          <w:rFonts w:ascii="Arial" w:hAnsi="Arial" w:cs="Arial"/>
          <w:color w:val="000000"/>
        </w:rPr>
      </w:pPr>
    </w:p>
    <w:p w14:paraId="277FD9A4" w14:textId="1B270518" w:rsidR="00973FE5" w:rsidRDefault="51E9A9B4" w:rsidP="004C2AB4">
      <w:pPr>
        <w:autoSpaceDE w:val="0"/>
        <w:autoSpaceDN w:val="0"/>
        <w:adjustRightInd w:val="0"/>
        <w:spacing w:line="360" w:lineRule="auto"/>
        <w:rPr>
          <w:rFonts w:ascii="Arial" w:eastAsia="Arial" w:hAnsi="Arial" w:cs="Arial"/>
          <w:color w:val="000000" w:themeColor="text1"/>
        </w:rPr>
      </w:pPr>
      <w:r w:rsidRPr="51E9A9B4">
        <w:rPr>
          <w:rFonts w:ascii="Arial" w:eastAsia="Arial" w:hAnsi="Arial" w:cs="Arial"/>
          <w:color w:val="000000" w:themeColor="text1"/>
        </w:rPr>
        <w:t>Although a relatively small proportion of the NES workforce identify themselves as disabled, disabled staff are represented in a broad range of roles and at all levels of the organisation</w:t>
      </w:r>
      <w:r w:rsidR="004C2AB4">
        <w:rPr>
          <w:rFonts w:ascii="Arial" w:eastAsia="Arial" w:hAnsi="Arial" w:cs="Arial"/>
          <w:color w:val="000000" w:themeColor="text1"/>
        </w:rPr>
        <w:t xml:space="preserve">. </w:t>
      </w:r>
    </w:p>
    <w:p w14:paraId="277FD9A5" w14:textId="77777777" w:rsidR="00973FE5" w:rsidRDefault="00973FE5" w:rsidP="00AF0A00">
      <w:pPr>
        <w:autoSpaceDE w:val="0"/>
        <w:autoSpaceDN w:val="0"/>
        <w:adjustRightInd w:val="0"/>
        <w:spacing w:line="360" w:lineRule="auto"/>
        <w:rPr>
          <w:rFonts w:ascii="Arial" w:hAnsi="Arial" w:cs="Arial"/>
          <w:color w:val="000000"/>
        </w:rPr>
      </w:pPr>
    </w:p>
    <w:p w14:paraId="277FD9A6" w14:textId="035D8CD9" w:rsidR="00973FE5" w:rsidRDefault="51E9A9B4" w:rsidP="004C2AB4">
      <w:pPr>
        <w:autoSpaceDE w:val="0"/>
        <w:autoSpaceDN w:val="0"/>
        <w:adjustRightInd w:val="0"/>
        <w:spacing w:line="360" w:lineRule="auto"/>
        <w:rPr>
          <w:rFonts w:ascii="Arial" w:eastAsia="Arial" w:hAnsi="Arial" w:cs="Arial"/>
          <w:color w:val="000000" w:themeColor="text1"/>
        </w:rPr>
      </w:pPr>
      <w:r w:rsidRPr="51E9A9B4">
        <w:rPr>
          <w:rFonts w:ascii="Arial" w:eastAsia="Arial" w:hAnsi="Arial" w:cs="Arial"/>
          <w:color w:val="000000" w:themeColor="text1"/>
        </w:rPr>
        <w:t xml:space="preserve">NES employs staff from a wide range of ethnic groups, and the small numbers within each group result in data which is more difficult to interpret. </w:t>
      </w:r>
    </w:p>
    <w:p w14:paraId="277FD9A7" w14:textId="77777777" w:rsidR="00DC17AC" w:rsidRDefault="00DC17AC" w:rsidP="00AF0A00">
      <w:pPr>
        <w:autoSpaceDE w:val="0"/>
        <w:autoSpaceDN w:val="0"/>
        <w:adjustRightInd w:val="0"/>
        <w:spacing w:line="360" w:lineRule="auto"/>
        <w:rPr>
          <w:rFonts w:ascii="Arial" w:eastAsia="Arial" w:hAnsi="Arial" w:cs="Arial"/>
          <w:color w:val="000000" w:themeColor="text1"/>
        </w:rPr>
      </w:pPr>
    </w:p>
    <w:p w14:paraId="7AF3F73F" w14:textId="77777777" w:rsidR="00A02D33" w:rsidRDefault="00A02D33">
      <w:pPr>
        <w:rPr>
          <w:rFonts w:ascii="Arial" w:eastAsia="Arial" w:hAnsi="Arial" w:cs="Arial"/>
          <w:color w:val="000000" w:themeColor="text1"/>
        </w:rPr>
      </w:pPr>
      <w:r>
        <w:rPr>
          <w:rFonts w:ascii="Arial" w:eastAsia="Arial" w:hAnsi="Arial" w:cs="Arial"/>
          <w:color w:val="000000" w:themeColor="text1"/>
        </w:rPr>
        <w:br w:type="page"/>
      </w:r>
    </w:p>
    <w:p w14:paraId="277FD9AA" w14:textId="1774E7F9" w:rsidR="00FB1849" w:rsidRPr="008C48EC" w:rsidRDefault="00DC17AC" w:rsidP="00AF0A00">
      <w:pPr>
        <w:autoSpaceDE w:val="0"/>
        <w:autoSpaceDN w:val="0"/>
        <w:adjustRightInd w:val="0"/>
        <w:spacing w:line="360" w:lineRule="auto"/>
        <w:rPr>
          <w:rFonts w:ascii="Arial" w:hAnsi="Arial" w:cs="Arial"/>
          <w:color w:val="000000"/>
        </w:rPr>
      </w:pPr>
      <w:r>
        <w:rPr>
          <w:rFonts w:ascii="Arial" w:eastAsia="Arial" w:hAnsi="Arial" w:cs="Arial"/>
          <w:color w:val="000000" w:themeColor="text1"/>
        </w:rPr>
        <w:lastRenderedPageBreak/>
        <w:t>The findings of this analysis have been used to</w:t>
      </w:r>
      <w:r w:rsidR="007C5DE8">
        <w:rPr>
          <w:rFonts w:ascii="Arial" w:eastAsia="Arial" w:hAnsi="Arial" w:cs="Arial"/>
          <w:color w:val="000000" w:themeColor="text1"/>
        </w:rPr>
        <w:t xml:space="preserve"> inform our Equal Pay Statement </w:t>
      </w:r>
      <w:r w:rsidR="007C5DE8" w:rsidRPr="005F7A29">
        <w:rPr>
          <w:rFonts w:ascii="Arial" w:eastAsia="Arial" w:hAnsi="Arial" w:cs="Arial"/>
          <w:color w:val="000000" w:themeColor="text1"/>
        </w:rPr>
        <w:t>and Equality Outcomes.</w:t>
      </w:r>
    </w:p>
    <w:p w14:paraId="277FD9AB" w14:textId="77777777" w:rsidR="002066CA" w:rsidRDefault="002066CA" w:rsidP="00AF0A00">
      <w:pPr>
        <w:autoSpaceDE w:val="0"/>
        <w:autoSpaceDN w:val="0"/>
        <w:adjustRightInd w:val="0"/>
        <w:spacing w:line="360" w:lineRule="auto"/>
        <w:jc w:val="right"/>
        <w:rPr>
          <w:rFonts w:ascii="Arial" w:hAnsi="Arial" w:cs="Arial"/>
          <w:color w:val="000000"/>
        </w:rPr>
      </w:pPr>
    </w:p>
    <w:p w14:paraId="277FD9AC" w14:textId="77777777" w:rsidR="00EF1043" w:rsidRDefault="51E9A9B4" w:rsidP="00AF0A00">
      <w:pPr>
        <w:autoSpaceDE w:val="0"/>
        <w:autoSpaceDN w:val="0"/>
        <w:adjustRightInd w:val="0"/>
        <w:spacing w:line="360" w:lineRule="auto"/>
        <w:jc w:val="right"/>
        <w:rPr>
          <w:rFonts w:ascii="Arial" w:eastAsia="Arial" w:hAnsi="Arial" w:cs="Arial"/>
          <w:color w:val="000000" w:themeColor="text1"/>
        </w:rPr>
      </w:pPr>
      <w:r w:rsidRPr="51E9A9B4">
        <w:rPr>
          <w:rFonts w:ascii="Arial" w:eastAsia="Arial" w:hAnsi="Arial" w:cs="Arial"/>
          <w:color w:val="000000" w:themeColor="text1"/>
        </w:rPr>
        <w:t>NHS Education for Scotland</w:t>
      </w:r>
      <w:smartTag w:uri="urn:schemas-microsoft-com:office:smarttags" w:element="place"/>
      <w:smartTag w:uri="urn:schemas-microsoft-com:office:smarttags" w:element="country-region"/>
    </w:p>
    <w:p w14:paraId="277FD9AD" w14:textId="1B0640AE" w:rsidR="005C3557" w:rsidRPr="008C48EC" w:rsidRDefault="51E9A9B4" w:rsidP="00AF0A00">
      <w:pPr>
        <w:spacing w:line="360" w:lineRule="auto"/>
        <w:jc w:val="right"/>
        <w:rPr>
          <w:rFonts w:ascii="Arial" w:eastAsia="Arial" w:hAnsi="Arial" w:cs="Arial"/>
          <w:color w:val="000000" w:themeColor="text1"/>
        </w:rPr>
      </w:pPr>
      <w:r w:rsidRPr="51E9A9B4">
        <w:rPr>
          <w:rFonts w:ascii="Arial" w:eastAsia="Arial" w:hAnsi="Arial" w:cs="Arial"/>
          <w:color w:val="000000" w:themeColor="text1"/>
        </w:rPr>
        <w:t xml:space="preserve"> April </w:t>
      </w:r>
      <w:r w:rsidR="00106F38">
        <w:rPr>
          <w:rFonts w:ascii="Arial" w:eastAsia="Arial" w:hAnsi="Arial" w:cs="Arial"/>
          <w:color w:val="000000" w:themeColor="text1"/>
        </w:rPr>
        <w:t>2021</w:t>
      </w:r>
    </w:p>
    <w:sectPr w:rsidR="005C3557" w:rsidRPr="008C48EC" w:rsidSect="00280D17">
      <w:footerReference w:type="even" r:id="rId13"/>
      <w:footerReference w:type="default" r:id="rId14"/>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2C446" w14:textId="77777777" w:rsidR="009F4DB3" w:rsidRDefault="009F4DB3">
      <w:r>
        <w:separator/>
      </w:r>
    </w:p>
  </w:endnote>
  <w:endnote w:type="continuationSeparator" w:id="0">
    <w:p w14:paraId="6E58604B" w14:textId="77777777" w:rsidR="009F4DB3" w:rsidRDefault="009F4DB3">
      <w:r>
        <w:continuationSeparator/>
      </w:r>
    </w:p>
  </w:endnote>
  <w:endnote w:type="continuationNotice" w:id="1">
    <w:p w14:paraId="09CB49BE" w14:textId="77777777" w:rsidR="009F4DB3" w:rsidRDefault="009F4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rateSansBQ-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FD9B7" w14:textId="77777777" w:rsidR="005D1546" w:rsidRDefault="005D1546" w:rsidP="00BF24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7FD9B8" w14:textId="77777777" w:rsidR="005D1546" w:rsidRDefault="005D1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FD9B9" w14:textId="43739687" w:rsidR="005D1546" w:rsidRDefault="005D1546" w:rsidP="00BF24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277FD9BA" w14:textId="77777777" w:rsidR="005D1546" w:rsidRDefault="005D1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2C80E" w14:textId="77777777" w:rsidR="009F4DB3" w:rsidRDefault="009F4DB3">
      <w:r>
        <w:separator/>
      </w:r>
    </w:p>
  </w:footnote>
  <w:footnote w:type="continuationSeparator" w:id="0">
    <w:p w14:paraId="745930D6" w14:textId="77777777" w:rsidR="009F4DB3" w:rsidRDefault="009F4DB3">
      <w:r>
        <w:continuationSeparator/>
      </w:r>
    </w:p>
  </w:footnote>
  <w:footnote w:type="continuationNotice" w:id="1">
    <w:p w14:paraId="2BB867AB" w14:textId="77777777" w:rsidR="009F4DB3" w:rsidRDefault="009F4DB3"/>
  </w:footnote>
  <w:footnote w:id="2">
    <w:p w14:paraId="277FD9BC" w14:textId="5CB1CBEF" w:rsidR="005D1546" w:rsidRPr="005D1546" w:rsidRDefault="005D1546">
      <w:pPr>
        <w:pStyle w:val="FootnoteText"/>
        <w:rPr>
          <w:rFonts w:ascii="Arial" w:hAnsi="Arial" w:cs="Arial"/>
        </w:rPr>
      </w:pPr>
      <w:r w:rsidRPr="005D1546">
        <w:rPr>
          <w:rStyle w:val="FootnoteReference"/>
          <w:rFonts w:ascii="Arial" w:hAnsi="Arial" w:cs="Arial"/>
        </w:rPr>
        <w:footnoteRef/>
      </w:r>
      <w:r w:rsidRPr="005D1546">
        <w:rPr>
          <w:rFonts w:ascii="Arial" w:hAnsi="Arial" w:cs="Arial"/>
        </w:rPr>
        <w:t xml:space="preserve"> </w:t>
      </w:r>
      <w:hyperlink r:id="rId1" w:history="1">
        <w:r w:rsidRPr="00B31860">
          <w:rPr>
            <w:rStyle w:val="Hyperlink"/>
            <w:rFonts w:ascii="Arial" w:hAnsi="Arial" w:cs="Arial"/>
          </w:rPr>
          <w:t>http://www.legislation.gov.uk/sdsi/2012/9780111016718/contents</w:t>
        </w:r>
      </w:hyperlink>
      <w:r>
        <w:rPr>
          <w:rFonts w:ascii="Arial" w:hAnsi="Arial" w:cs="Arial"/>
        </w:rPr>
        <w:t xml:space="preserve"> </w:t>
      </w:r>
      <w:r w:rsidRPr="005D1546">
        <w:rPr>
          <w:rFonts w:ascii="Arial" w:hAnsi="Arial" w:cs="Arial"/>
        </w:rPr>
        <w:t>.</w:t>
      </w:r>
    </w:p>
  </w:footnote>
  <w:footnote w:id="3">
    <w:p w14:paraId="277FD9BD" w14:textId="43A49F79" w:rsidR="005D1546" w:rsidRPr="005D1546" w:rsidRDefault="005D1546">
      <w:pPr>
        <w:pStyle w:val="FootnoteText"/>
        <w:rPr>
          <w:rFonts w:ascii="Arial" w:hAnsi="Arial" w:cs="Arial"/>
        </w:rPr>
      </w:pPr>
      <w:r w:rsidRPr="005D1546">
        <w:rPr>
          <w:rStyle w:val="FootnoteReference"/>
          <w:rFonts w:ascii="Arial" w:hAnsi="Arial" w:cs="Arial"/>
        </w:rPr>
        <w:footnoteRef/>
      </w:r>
      <w:r w:rsidRPr="005D1546">
        <w:rPr>
          <w:rFonts w:ascii="Arial" w:hAnsi="Arial" w:cs="Arial"/>
        </w:rPr>
        <w:t xml:space="preserve"> </w:t>
      </w:r>
      <w:hyperlink r:id="rId2" w:history="1">
        <w:r w:rsidRPr="00B31860">
          <w:rPr>
            <w:rStyle w:val="Hyperlink"/>
            <w:rFonts w:ascii="Arial" w:hAnsi="Arial" w:cs="Arial"/>
          </w:rPr>
          <w:t>http://www.gov.scot/Publications/2016/06/4807</w:t>
        </w:r>
      </w:hyperlink>
      <w:r>
        <w:rPr>
          <w:rFonts w:ascii="Arial" w:hAnsi="Arial" w:cs="Arial"/>
        </w:rPr>
        <w:t xml:space="preserve"> </w:t>
      </w:r>
    </w:p>
  </w:footnote>
  <w:footnote w:id="4">
    <w:p w14:paraId="7FD32D48" w14:textId="7F5D0842" w:rsidR="005D1546" w:rsidRPr="005D1546" w:rsidRDefault="005D1546">
      <w:pPr>
        <w:pStyle w:val="FootnoteText"/>
        <w:rPr>
          <w:rFonts w:ascii="Arial" w:hAnsi="Arial" w:cs="Arial"/>
        </w:rPr>
      </w:pPr>
      <w:r w:rsidRPr="005D1546">
        <w:rPr>
          <w:rStyle w:val="FootnoteReference"/>
          <w:rFonts w:ascii="Arial" w:hAnsi="Arial" w:cs="Arial"/>
        </w:rPr>
        <w:footnoteRef/>
      </w:r>
      <w:r w:rsidRPr="005D1546">
        <w:rPr>
          <w:rFonts w:ascii="Arial" w:hAnsi="Arial" w:cs="Arial"/>
        </w:rPr>
        <w:t xml:space="preserve"> </w:t>
      </w:r>
      <w:hyperlink r:id="rId3" w:anchor="rlslider_5" w:history="1">
        <w:r w:rsidRPr="00B31860">
          <w:rPr>
            <w:rStyle w:val="Hyperlink"/>
            <w:rFonts w:ascii="Arial" w:hAnsi="Arial" w:cs="Arial"/>
          </w:rPr>
          <w:t>https://www.closethegap.org.uk/content/faq/#rlslider_5</w:t>
        </w:r>
      </w:hyperlink>
      <w:r>
        <w:rPr>
          <w:rFonts w:ascii="Arial" w:hAnsi="Arial" w:cs="Arial"/>
        </w:rPr>
        <w:t xml:space="preserve"> </w:t>
      </w:r>
    </w:p>
  </w:footnote>
  <w:footnote w:id="5">
    <w:p w14:paraId="277FD9BF" w14:textId="3A70D5FD" w:rsidR="005D1546" w:rsidRPr="005D1546" w:rsidRDefault="005D1546">
      <w:pPr>
        <w:pStyle w:val="FootnoteText"/>
        <w:rPr>
          <w:rFonts w:ascii="Arial" w:hAnsi="Arial" w:cs="Arial"/>
        </w:rPr>
      </w:pPr>
      <w:r w:rsidRPr="005D1546">
        <w:rPr>
          <w:rStyle w:val="FootnoteReference"/>
          <w:rFonts w:ascii="Arial" w:hAnsi="Arial" w:cs="Arial"/>
        </w:rPr>
        <w:footnoteRef/>
      </w:r>
      <w:r w:rsidRPr="005D1546">
        <w:rPr>
          <w:rFonts w:ascii="Arial" w:hAnsi="Arial" w:cs="Arial"/>
        </w:rPr>
        <w:t xml:space="preserve"> </w:t>
      </w:r>
      <w:hyperlink r:id="rId4" w:history="1">
        <w:r w:rsidRPr="005D1546">
          <w:rPr>
            <w:rStyle w:val="Hyperlink"/>
            <w:rFonts w:ascii="Arial" w:hAnsi="Arial" w:cs="Arial"/>
          </w:rPr>
          <w:t>http://www.staffgovernance.scot.nhs.uk/what-is-staff-governance/staff-governance-standard/</w:t>
        </w:r>
      </w:hyperlink>
    </w:p>
  </w:footnote>
  <w:footnote w:id="6">
    <w:p w14:paraId="277FD9C0" w14:textId="2A60DB53" w:rsidR="005D1546" w:rsidRDefault="005D1546">
      <w:pPr>
        <w:pStyle w:val="FootnoteText"/>
      </w:pPr>
      <w:r w:rsidRPr="005D1546">
        <w:rPr>
          <w:rStyle w:val="FootnoteReference"/>
          <w:rFonts w:ascii="Arial" w:hAnsi="Arial" w:cs="Arial"/>
        </w:rPr>
        <w:footnoteRef/>
      </w:r>
      <w:r w:rsidRPr="005D1546">
        <w:rPr>
          <w:rFonts w:ascii="Arial" w:hAnsi="Arial" w:cs="Arial"/>
        </w:rPr>
        <w:t xml:space="preserve"> </w:t>
      </w:r>
      <w:hyperlink r:id="rId5" w:history="1">
        <w:r w:rsidRPr="00B31860">
          <w:rPr>
            <w:rStyle w:val="Hyperlink"/>
            <w:rFonts w:ascii="Arial" w:hAnsi="Arial" w:cs="Arial"/>
          </w:rPr>
          <w:t>https://www.equalityhumanrights.com/en/advice-and-guidance/public-sector-equality-duty</w:t>
        </w:r>
      </w:hyperlink>
      <w:r>
        <w:rPr>
          <w:rFonts w:ascii="Arial" w:hAnsi="Arial" w:cs="Arial"/>
        </w:rPr>
        <w:t xml:space="preserve"> </w:t>
      </w:r>
    </w:p>
  </w:footnote>
  <w:footnote w:id="7">
    <w:p w14:paraId="33A49B7E" w14:textId="62437324" w:rsidR="009623AF" w:rsidRDefault="009623AF">
      <w:pPr>
        <w:pStyle w:val="FootnoteText"/>
      </w:pPr>
      <w:r>
        <w:rPr>
          <w:rStyle w:val="FootnoteReference"/>
        </w:rPr>
        <w:footnoteRef/>
      </w:r>
      <w:r>
        <w:t xml:space="preserve"> </w:t>
      </w:r>
      <w:hyperlink r:id="rId6" w:history="1">
        <w:r w:rsidRPr="00160E2D">
          <w:rPr>
            <w:rStyle w:val="Hyperlink"/>
          </w:rPr>
          <w:t>https://www.gov.scot/binaries/content/documents/govscot/publications/research-and-analysis/2020/09/the-impacts-of-covid-19-on-equality-in-scotland/documents/full-report/full-report/govscot%3Adocument/Covid%2Band%2BInequalities%2BFinal%2BReport%2BFor%2BPublication%2B-%2BPDF.pdf</w:t>
        </w:r>
      </w:hyperlink>
      <w:r>
        <w:t xml:space="preserve"> </w:t>
      </w:r>
    </w:p>
  </w:footnote>
  <w:footnote w:id="8">
    <w:p w14:paraId="277FD9C1" w14:textId="5674A59C" w:rsidR="005D1546" w:rsidRPr="005D1546" w:rsidRDefault="005D1546" w:rsidP="00700BEB">
      <w:pPr>
        <w:pStyle w:val="FootnoteText"/>
        <w:rPr>
          <w:rFonts w:ascii="Arial" w:hAnsi="Arial" w:cs="Arial"/>
        </w:rPr>
      </w:pPr>
      <w:r w:rsidRPr="005D1546">
        <w:rPr>
          <w:rStyle w:val="FootnoteReference"/>
          <w:rFonts w:ascii="Arial" w:hAnsi="Arial" w:cs="Arial"/>
        </w:rPr>
        <w:footnoteRef/>
      </w:r>
      <w:r w:rsidRPr="005D1546">
        <w:rPr>
          <w:rFonts w:ascii="Arial" w:hAnsi="Arial" w:cs="Arial"/>
        </w:rPr>
        <w:t xml:space="preserve"> </w:t>
      </w:r>
      <w:hyperlink r:id="rId7" w:history="1">
        <w:r w:rsidRPr="00B31860">
          <w:rPr>
            <w:rStyle w:val="Hyperlink"/>
            <w:rFonts w:ascii="Arial" w:hAnsi="Arial" w:cs="Arial"/>
          </w:rPr>
          <w:t>http://www.legislation.gov.uk/sdsi/2012/9780111016718/contents</w:t>
        </w:r>
      </w:hyperlink>
      <w:r>
        <w:rPr>
          <w:rFonts w:ascii="Arial" w:hAnsi="Arial" w:cs="Arial"/>
        </w:rPr>
        <w:t xml:space="preserve"> </w:t>
      </w:r>
    </w:p>
  </w:footnote>
  <w:footnote w:id="9">
    <w:p w14:paraId="277FD9C2" w14:textId="118A6F85" w:rsidR="005D1546" w:rsidRDefault="005D1546" w:rsidP="008C638D">
      <w:pPr>
        <w:pStyle w:val="FootnoteText"/>
      </w:pPr>
      <w:r w:rsidRPr="005D1546">
        <w:rPr>
          <w:rStyle w:val="FootnoteReference"/>
          <w:rFonts w:ascii="Arial" w:hAnsi="Arial" w:cs="Arial"/>
        </w:rPr>
        <w:footnoteRef/>
      </w:r>
      <w:r w:rsidRPr="005D1546">
        <w:rPr>
          <w:rFonts w:ascii="Arial" w:hAnsi="Arial" w:cs="Arial"/>
        </w:rPr>
        <w:t xml:space="preserve"> </w:t>
      </w:r>
      <w:hyperlink r:id="rId8" w:history="1">
        <w:r w:rsidRPr="00B31860">
          <w:rPr>
            <w:rStyle w:val="Hyperlink"/>
            <w:rFonts w:ascii="Arial" w:hAnsi="Arial" w:cs="Arial"/>
          </w:rPr>
          <w:t>http://www.nes.scot.nhs.uk/about-us/equality-and-diversity/equality-monitoring.aspx</w:t>
        </w:r>
      </w:hyperlink>
      <w:r>
        <w:rPr>
          <w:rFonts w:ascii="Arial" w:hAnsi="Arial" w:cs="Arial"/>
        </w:rPr>
        <w:t xml:space="preserve"> </w:t>
      </w:r>
    </w:p>
  </w:footnote>
  <w:footnote w:id="10">
    <w:p w14:paraId="277FD9C3" w14:textId="77777777" w:rsidR="005D1546" w:rsidRDefault="005D1546">
      <w:pPr>
        <w:pStyle w:val="FootnoteText"/>
      </w:pPr>
      <w:r>
        <w:rPr>
          <w:rStyle w:val="FootnoteReference"/>
        </w:rPr>
        <w:footnoteRef/>
      </w:r>
      <w:r>
        <w:t xml:space="preserve"> </w:t>
      </w:r>
      <w:r w:rsidRPr="00C5231D">
        <w:t>http://www.legislation.gov.uk/ssi/2012/162/regulation/7/made</w:t>
      </w:r>
    </w:p>
  </w:footnote>
  <w:footnote w:id="11">
    <w:p w14:paraId="277FD9C4" w14:textId="77777777" w:rsidR="005D1546" w:rsidRPr="005D1546" w:rsidRDefault="005D1546">
      <w:pPr>
        <w:pStyle w:val="FootnoteText"/>
        <w:rPr>
          <w:rFonts w:ascii="Arial" w:hAnsi="Arial" w:cs="Arial"/>
        </w:rPr>
      </w:pPr>
      <w:r w:rsidRPr="005D1546">
        <w:rPr>
          <w:rStyle w:val="FootnoteReference"/>
          <w:rFonts w:ascii="Arial" w:hAnsi="Arial" w:cs="Arial"/>
        </w:rPr>
        <w:footnoteRef/>
      </w:r>
      <w:r w:rsidRPr="005D1546">
        <w:rPr>
          <w:rFonts w:ascii="Arial" w:hAnsi="Arial" w:cs="Arial"/>
        </w:rPr>
        <w:t xml:space="preserve"> </w:t>
      </w:r>
      <w:hyperlink r:id="rId9" w:history="1">
        <w:r w:rsidRPr="005D1546">
          <w:rPr>
            <w:rStyle w:val="Hyperlink"/>
            <w:rFonts w:ascii="Arial" w:hAnsi="Arial" w:cs="Arial"/>
          </w:rPr>
          <w:t>https://www.closethegap.org.uk/content/resources/Close-the-Gap-PSED-guidance-on-gender-and-employment-2016.pdf</w:t>
        </w:r>
      </w:hyperlink>
      <w:r w:rsidRPr="005D1546">
        <w:rPr>
          <w:rFonts w:ascii="Arial" w:hAnsi="Arial" w:cs="Arial"/>
        </w:rPr>
        <w:t>, The formula used is the mean pay gap formula on p. 32.</w:t>
      </w:r>
    </w:p>
  </w:footnote>
  <w:footnote w:id="12">
    <w:p w14:paraId="2F81F7C3" w14:textId="77777777" w:rsidR="005D1546" w:rsidRDefault="005D1546" w:rsidP="00712009">
      <w:pPr>
        <w:pStyle w:val="FootnoteText"/>
      </w:pPr>
      <w:r w:rsidRPr="005D1546">
        <w:rPr>
          <w:rStyle w:val="FootnoteReference"/>
          <w:rFonts w:ascii="Arial" w:hAnsi="Arial" w:cs="Arial"/>
        </w:rPr>
        <w:footnoteRef/>
      </w:r>
      <w:r w:rsidRPr="005D1546">
        <w:rPr>
          <w:rFonts w:ascii="Arial" w:hAnsi="Arial" w:cs="Arial"/>
        </w:rPr>
        <w:t xml:space="preserve"> </w:t>
      </w:r>
      <w:hyperlink r:id="rId10" w:history="1">
        <w:r w:rsidRPr="005D1546">
          <w:rPr>
            <w:rStyle w:val="Hyperlink"/>
            <w:rFonts w:ascii="Arial" w:hAnsi="Arial" w:cs="Arial"/>
          </w:rPr>
          <w:t>https://www.closethegap.org.uk/content/resources/Gender-Pay-Gap-Statistics---Working-Paper-20-.pdf</w:t>
        </w:r>
      </w:hyperlink>
      <w:r w:rsidRPr="005D1546">
        <w:rPr>
          <w:rFonts w:ascii="Arial" w:hAnsi="Arial" w:cs="Arial"/>
        </w:rPr>
        <w:t>, p. 15.</w:t>
      </w:r>
      <w:r>
        <w:t xml:space="preserve"> </w:t>
      </w:r>
    </w:p>
  </w:footnote>
  <w:footnote w:id="13">
    <w:p w14:paraId="32A5256F" w14:textId="24D5AC83" w:rsidR="005D1546" w:rsidRPr="005D1546" w:rsidRDefault="005D1546">
      <w:pPr>
        <w:pStyle w:val="FootnoteText"/>
        <w:rPr>
          <w:rFonts w:ascii="Arial" w:hAnsi="Arial" w:cs="Arial"/>
        </w:rPr>
      </w:pPr>
      <w:r w:rsidRPr="005D1546">
        <w:rPr>
          <w:rStyle w:val="FootnoteReference"/>
          <w:rFonts w:ascii="Arial" w:hAnsi="Arial" w:cs="Arial"/>
        </w:rPr>
        <w:footnoteRef/>
      </w:r>
      <w:r w:rsidRPr="005D1546">
        <w:rPr>
          <w:rFonts w:ascii="Arial" w:hAnsi="Arial" w:cs="Arial"/>
        </w:rPr>
        <w:t xml:space="preserve"> Doctors </w:t>
      </w:r>
      <w:proofErr w:type="gramStart"/>
      <w:r w:rsidRPr="005D1546">
        <w:rPr>
          <w:rFonts w:ascii="Arial" w:hAnsi="Arial" w:cs="Arial"/>
        </w:rPr>
        <w:t>In</w:t>
      </w:r>
      <w:proofErr w:type="gramEnd"/>
      <w:r w:rsidRPr="005D1546">
        <w:rPr>
          <w:rFonts w:ascii="Arial" w:hAnsi="Arial" w:cs="Arial"/>
        </w:rPr>
        <w:t xml:space="preserve"> Training</w:t>
      </w:r>
    </w:p>
  </w:footnote>
  <w:footnote w:id="14">
    <w:p w14:paraId="277FD9C5" w14:textId="77777777" w:rsidR="005D1546" w:rsidRPr="000B656B" w:rsidRDefault="005D1546" w:rsidP="51E9A9B4">
      <w:pPr>
        <w:pStyle w:val="FootnoteText"/>
        <w:rPr>
          <w:rFonts w:ascii="Arial" w:eastAsia="Arial" w:hAnsi="Arial" w:cs="Arial"/>
        </w:rPr>
      </w:pPr>
      <w:r w:rsidRPr="000B656B">
        <w:rPr>
          <w:rStyle w:val="FootnoteReference"/>
          <w:rFonts w:ascii="Arial" w:eastAsia="Arial" w:hAnsi="Arial" w:cs="Arial"/>
        </w:rPr>
        <w:footnoteRef/>
      </w:r>
      <w:r w:rsidRPr="000B656B">
        <w:rPr>
          <w:rFonts w:ascii="Arial" w:eastAsia="Arial" w:hAnsi="Arial" w:cs="Arial"/>
        </w:rPr>
        <w:t xml:space="preserve"> WISE briefing paper January 2013: Where are women in Scotland’s labour market?, </w:t>
      </w:r>
      <w:hyperlink r:id="rId11" w:history="1">
        <w:r w:rsidRPr="000B656B">
          <w:rPr>
            <w:rStyle w:val="Hyperlink"/>
            <w:rFonts w:ascii="Arial" w:eastAsia="Arial" w:hAnsi="Arial" w:cs="Arial"/>
          </w:rPr>
          <w:t>http://www.gcu.ac.uk/media/gcalwebv2/theuniversity/centresprojects/wise/WiSE%20Briefing%20Paper%20No%202%20final.pdf</w:t>
        </w:r>
      </w:hyperlink>
    </w:p>
  </w:footnote>
  <w:footnote w:id="15">
    <w:p w14:paraId="110D5941" w14:textId="3EF2C2BD" w:rsidR="005D1546" w:rsidRPr="00483C93" w:rsidRDefault="005D1546">
      <w:pPr>
        <w:pStyle w:val="FootnoteText"/>
        <w:rPr>
          <w:rFonts w:ascii="Arial" w:hAnsi="Arial" w:cs="Arial"/>
        </w:rPr>
      </w:pPr>
      <w:r w:rsidRPr="00483C93">
        <w:rPr>
          <w:rStyle w:val="FootnoteReference"/>
          <w:rFonts w:ascii="Arial" w:hAnsi="Arial" w:cs="Arial"/>
        </w:rPr>
        <w:footnoteRef/>
      </w:r>
      <w:r w:rsidRPr="00483C93">
        <w:rPr>
          <w:rFonts w:ascii="Arial" w:hAnsi="Arial" w:cs="Arial"/>
        </w:rPr>
        <w:t xml:space="preserve"> As at 31 March 2020, 41.5% of medical consultants were female, compared to 31.% at 31 March 2010. </w:t>
      </w:r>
      <w:hyperlink r:id="rId12" w:history="1">
        <w:r w:rsidRPr="00483C93">
          <w:rPr>
            <w:rStyle w:val="Hyperlink"/>
            <w:rFonts w:ascii="Arial" w:hAnsi="Arial" w:cs="Arial"/>
          </w:rPr>
          <w:t>https://turasdata.nes.nhs.scot/media/2prjxbg4/2020-06-02-workforce-report.pdf</w:t>
        </w:r>
      </w:hyperlink>
      <w:r w:rsidRPr="00483C93">
        <w:rPr>
          <w:rFonts w:ascii="Arial" w:hAnsi="Arial" w:cs="Arial"/>
        </w:rPr>
        <w:t xml:space="preserve"> </w:t>
      </w:r>
    </w:p>
  </w:footnote>
  <w:footnote w:id="16">
    <w:p w14:paraId="093A13B1" w14:textId="5056977A" w:rsidR="005D1546" w:rsidRPr="00483C93" w:rsidRDefault="005D1546" w:rsidP="00EB03E9">
      <w:pPr>
        <w:pStyle w:val="CommentText"/>
        <w:rPr>
          <w:rFonts w:ascii="Arial" w:hAnsi="Arial" w:cs="Arial"/>
        </w:rPr>
      </w:pPr>
      <w:r w:rsidRPr="00483C93">
        <w:rPr>
          <w:rStyle w:val="FootnoteReference"/>
          <w:rFonts w:ascii="Arial" w:hAnsi="Arial" w:cs="Arial"/>
        </w:rPr>
        <w:footnoteRef/>
      </w:r>
      <w:r w:rsidRPr="00483C93">
        <w:rPr>
          <w:rFonts w:ascii="Arial" w:hAnsi="Arial" w:cs="Arial"/>
        </w:rPr>
        <w:t xml:space="preserve"> A Fellowship is a year-long, out of programme experience (OOPE) that provides doctors in training an opportunity to develop as potential health leaders of the future. It aims to provide NHS Scotland with doctors that have an enhanced capability to offer leadership in their workplace. Medical Fellows are employed on Medical terms and conditions.</w:t>
      </w:r>
    </w:p>
    <w:p w14:paraId="26230134" w14:textId="14122859" w:rsidR="005D1546" w:rsidRDefault="005D1546">
      <w:pPr>
        <w:pStyle w:val="FootnoteText"/>
      </w:pPr>
    </w:p>
  </w:footnote>
  <w:footnote w:id="17">
    <w:p w14:paraId="72F0450D" w14:textId="7DC03334" w:rsidR="005D1546" w:rsidRDefault="005D1546">
      <w:pPr>
        <w:pStyle w:val="FootnoteText"/>
      </w:pPr>
      <w:r>
        <w:rPr>
          <w:rStyle w:val="FootnoteReference"/>
        </w:rPr>
        <w:footnoteRef/>
      </w:r>
      <w:r>
        <w:t xml:space="preserve"> We lack a national comparator as the national workforce statistics do not report on the ethnic composition of medical consultants.</w:t>
      </w:r>
    </w:p>
  </w:footnote>
  <w:footnote w:id="18">
    <w:p w14:paraId="423BF5BC" w14:textId="529AC189" w:rsidR="000B28EE" w:rsidRDefault="000B28EE">
      <w:pPr>
        <w:pStyle w:val="FootnoteText"/>
      </w:pPr>
      <w:r>
        <w:rPr>
          <w:rStyle w:val="FootnoteReference"/>
        </w:rPr>
        <w:footnoteRef/>
      </w:r>
      <w:r>
        <w:t xml:space="preserve"> </w:t>
      </w:r>
      <w:r w:rsidR="00CE274A">
        <w:t>Recruitment of Doctors in Training forms part of national medical recruitment processes and is separate from the standard NES recruitment.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26AC"/>
    <w:multiLevelType w:val="hybridMultilevel"/>
    <w:tmpl w:val="8EB07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E49B8"/>
    <w:multiLevelType w:val="multilevel"/>
    <w:tmpl w:val="EC3AF10C"/>
    <w:lvl w:ilvl="0">
      <w:start w:val="1"/>
      <w:numFmt w:val="decimal"/>
      <w:pStyle w:val="Chapterheading"/>
      <w:isLgl/>
      <w:suff w:val="space"/>
      <w:lvlText w:val="Chapter %1: "/>
      <w:lvlJc w:val="left"/>
      <w:pPr>
        <w:ind w:left="717" w:hanging="717"/>
      </w:pPr>
      <w:rPr>
        <w:rFonts w:hint="default"/>
      </w:rPr>
    </w:lvl>
    <w:lvl w:ilvl="1">
      <w:start w:val="1"/>
      <w:numFmt w:val="decimal"/>
      <w:pStyle w:val="ParagraphNumbering"/>
      <w:lvlText w:val="%1.%2."/>
      <w:lvlJc w:val="left"/>
      <w:pPr>
        <w:tabs>
          <w:tab w:val="num" w:pos="851"/>
        </w:tabs>
        <w:ind w:left="851" w:hanging="851"/>
      </w:pPr>
      <w:rPr>
        <w:rFonts w:hint="default"/>
        <w:b w:val="0"/>
        <w:i w:val="0"/>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51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59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677"/>
        </w:tabs>
        <w:ind w:left="4101" w:hanging="1224"/>
      </w:pPr>
      <w:rPr>
        <w:rFonts w:hint="default"/>
      </w:rPr>
    </w:lvl>
    <w:lvl w:ilvl="8">
      <w:start w:val="1"/>
      <w:numFmt w:val="decimal"/>
      <w:lvlText w:val="%1.%2.%3.%4.%5.%6.%7.%8.%9."/>
      <w:lvlJc w:val="left"/>
      <w:pPr>
        <w:tabs>
          <w:tab w:val="num" w:pos="5397"/>
        </w:tabs>
        <w:ind w:left="4677" w:hanging="1440"/>
      </w:pPr>
      <w:rPr>
        <w:rFonts w:hint="default"/>
      </w:rPr>
    </w:lvl>
  </w:abstractNum>
  <w:abstractNum w:abstractNumId="2" w15:restartNumberingAfterBreak="0">
    <w:nsid w:val="03993374"/>
    <w:multiLevelType w:val="hybridMultilevel"/>
    <w:tmpl w:val="2F18102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1E66DE"/>
    <w:multiLevelType w:val="hybridMultilevel"/>
    <w:tmpl w:val="5274C67A"/>
    <w:lvl w:ilvl="0" w:tplc="C43240E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561CEA"/>
    <w:multiLevelType w:val="hybridMultilevel"/>
    <w:tmpl w:val="F6D613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B6BF9"/>
    <w:multiLevelType w:val="hybridMultilevel"/>
    <w:tmpl w:val="E8385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842CD"/>
    <w:multiLevelType w:val="hybridMultilevel"/>
    <w:tmpl w:val="AD2CF9C8"/>
    <w:lvl w:ilvl="0" w:tplc="C43240EA">
      <w:start w:val="1"/>
      <w:numFmt w:val="bullet"/>
      <w:lvlText w:val=""/>
      <w:lvlJc w:val="left"/>
      <w:pPr>
        <w:tabs>
          <w:tab w:val="num" w:pos="720"/>
        </w:tabs>
        <w:ind w:left="720" w:hanging="360"/>
      </w:pPr>
      <w:rPr>
        <w:rFonts w:ascii="Symbol" w:hAnsi="Symbol" w:hint="default"/>
      </w:rPr>
    </w:lvl>
    <w:lvl w:ilvl="1" w:tplc="DB1A2690">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B6751A"/>
    <w:multiLevelType w:val="hybridMultilevel"/>
    <w:tmpl w:val="5A9ED1E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CC59E3"/>
    <w:multiLevelType w:val="hybridMultilevel"/>
    <w:tmpl w:val="37E47C3C"/>
    <w:lvl w:ilvl="0" w:tplc="60B46CF0">
      <w:start w:val="1"/>
      <w:numFmt w:val="bullet"/>
      <w:lvlText w:val=""/>
      <w:lvlJc w:val="left"/>
      <w:pPr>
        <w:tabs>
          <w:tab w:val="num" w:pos="720"/>
        </w:tabs>
        <w:ind w:left="720" w:hanging="360"/>
      </w:pPr>
      <w:rPr>
        <w:rFonts w:ascii="Symbol" w:hAnsi="Symbol" w:hint="default"/>
        <w:sz w:val="20"/>
      </w:rPr>
    </w:lvl>
    <w:lvl w:ilvl="1" w:tplc="AA16B918" w:tentative="1">
      <w:start w:val="1"/>
      <w:numFmt w:val="bullet"/>
      <w:lvlText w:val="o"/>
      <w:lvlJc w:val="left"/>
      <w:pPr>
        <w:tabs>
          <w:tab w:val="num" w:pos="1440"/>
        </w:tabs>
        <w:ind w:left="1440" w:hanging="360"/>
      </w:pPr>
      <w:rPr>
        <w:rFonts w:ascii="Courier New" w:hAnsi="Courier New" w:hint="default"/>
        <w:sz w:val="20"/>
      </w:rPr>
    </w:lvl>
    <w:lvl w:ilvl="2" w:tplc="5FEE9FC6" w:tentative="1">
      <w:start w:val="1"/>
      <w:numFmt w:val="bullet"/>
      <w:lvlText w:val=""/>
      <w:lvlJc w:val="left"/>
      <w:pPr>
        <w:tabs>
          <w:tab w:val="num" w:pos="2160"/>
        </w:tabs>
        <w:ind w:left="2160" w:hanging="360"/>
      </w:pPr>
      <w:rPr>
        <w:rFonts w:ascii="Wingdings" w:hAnsi="Wingdings" w:hint="default"/>
        <w:sz w:val="20"/>
      </w:rPr>
    </w:lvl>
    <w:lvl w:ilvl="3" w:tplc="FD22C80E" w:tentative="1">
      <w:start w:val="1"/>
      <w:numFmt w:val="bullet"/>
      <w:lvlText w:val=""/>
      <w:lvlJc w:val="left"/>
      <w:pPr>
        <w:tabs>
          <w:tab w:val="num" w:pos="2880"/>
        </w:tabs>
        <w:ind w:left="2880" w:hanging="360"/>
      </w:pPr>
      <w:rPr>
        <w:rFonts w:ascii="Wingdings" w:hAnsi="Wingdings" w:hint="default"/>
        <w:sz w:val="20"/>
      </w:rPr>
    </w:lvl>
    <w:lvl w:ilvl="4" w:tplc="6554C594" w:tentative="1">
      <w:start w:val="1"/>
      <w:numFmt w:val="bullet"/>
      <w:lvlText w:val=""/>
      <w:lvlJc w:val="left"/>
      <w:pPr>
        <w:tabs>
          <w:tab w:val="num" w:pos="3600"/>
        </w:tabs>
        <w:ind w:left="3600" w:hanging="360"/>
      </w:pPr>
      <w:rPr>
        <w:rFonts w:ascii="Wingdings" w:hAnsi="Wingdings" w:hint="default"/>
        <w:sz w:val="20"/>
      </w:rPr>
    </w:lvl>
    <w:lvl w:ilvl="5" w:tplc="745EBB2E" w:tentative="1">
      <w:start w:val="1"/>
      <w:numFmt w:val="bullet"/>
      <w:lvlText w:val=""/>
      <w:lvlJc w:val="left"/>
      <w:pPr>
        <w:tabs>
          <w:tab w:val="num" w:pos="4320"/>
        </w:tabs>
        <w:ind w:left="4320" w:hanging="360"/>
      </w:pPr>
      <w:rPr>
        <w:rFonts w:ascii="Wingdings" w:hAnsi="Wingdings" w:hint="default"/>
        <w:sz w:val="20"/>
      </w:rPr>
    </w:lvl>
    <w:lvl w:ilvl="6" w:tplc="649E6B36" w:tentative="1">
      <w:start w:val="1"/>
      <w:numFmt w:val="bullet"/>
      <w:lvlText w:val=""/>
      <w:lvlJc w:val="left"/>
      <w:pPr>
        <w:tabs>
          <w:tab w:val="num" w:pos="5040"/>
        </w:tabs>
        <w:ind w:left="5040" w:hanging="360"/>
      </w:pPr>
      <w:rPr>
        <w:rFonts w:ascii="Wingdings" w:hAnsi="Wingdings" w:hint="default"/>
        <w:sz w:val="20"/>
      </w:rPr>
    </w:lvl>
    <w:lvl w:ilvl="7" w:tplc="4FB4FC68" w:tentative="1">
      <w:start w:val="1"/>
      <w:numFmt w:val="bullet"/>
      <w:lvlText w:val=""/>
      <w:lvlJc w:val="left"/>
      <w:pPr>
        <w:tabs>
          <w:tab w:val="num" w:pos="5760"/>
        </w:tabs>
        <w:ind w:left="5760" w:hanging="360"/>
      </w:pPr>
      <w:rPr>
        <w:rFonts w:ascii="Wingdings" w:hAnsi="Wingdings" w:hint="default"/>
        <w:sz w:val="20"/>
      </w:rPr>
    </w:lvl>
    <w:lvl w:ilvl="8" w:tplc="A6581B5A"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C73D5"/>
    <w:multiLevelType w:val="hybridMultilevel"/>
    <w:tmpl w:val="0FA0F1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909FA"/>
    <w:multiLevelType w:val="hybridMultilevel"/>
    <w:tmpl w:val="EFD41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C8372E"/>
    <w:multiLevelType w:val="hybridMultilevel"/>
    <w:tmpl w:val="30EAEDB0"/>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BA2A92"/>
    <w:multiLevelType w:val="hybridMultilevel"/>
    <w:tmpl w:val="AB9C258E"/>
    <w:lvl w:ilvl="0" w:tplc="9A32F0AE">
      <w:start w:val="1"/>
      <w:numFmt w:val="bullet"/>
      <w:lvlText w:val=""/>
      <w:lvlJc w:val="left"/>
      <w:pPr>
        <w:tabs>
          <w:tab w:val="num" w:pos="720"/>
        </w:tabs>
        <w:ind w:left="720" w:hanging="360"/>
      </w:pPr>
      <w:rPr>
        <w:rFonts w:ascii="Symbol" w:hAnsi="Symbol" w:hint="default"/>
        <w:sz w:val="20"/>
      </w:rPr>
    </w:lvl>
    <w:lvl w:ilvl="1" w:tplc="CD3CF930" w:tentative="1">
      <w:start w:val="1"/>
      <w:numFmt w:val="bullet"/>
      <w:lvlText w:val="o"/>
      <w:lvlJc w:val="left"/>
      <w:pPr>
        <w:tabs>
          <w:tab w:val="num" w:pos="1440"/>
        </w:tabs>
        <w:ind w:left="1440" w:hanging="360"/>
      </w:pPr>
      <w:rPr>
        <w:rFonts w:ascii="Courier New" w:hAnsi="Courier New" w:hint="default"/>
        <w:sz w:val="20"/>
      </w:rPr>
    </w:lvl>
    <w:lvl w:ilvl="2" w:tplc="6330BDA0" w:tentative="1">
      <w:start w:val="1"/>
      <w:numFmt w:val="bullet"/>
      <w:lvlText w:val=""/>
      <w:lvlJc w:val="left"/>
      <w:pPr>
        <w:tabs>
          <w:tab w:val="num" w:pos="2160"/>
        </w:tabs>
        <w:ind w:left="2160" w:hanging="360"/>
      </w:pPr>
      <w:rPr>
        <w:rFonts w:ascii="Wingdings" w:hAnsi="Wingdings" w:hint="default"/>
        <w:sz w:val="20"/>
      </w:rPr>
    </w:lvl>
    <w:lvl w:ilvl="3" w:tplc="51ACCE68" w:tentative="1">
      <w:start w:val="1"/>
      <w:numFmt w:val="bullet"/>
      <w:lvlText w:val=""/>
      <w:lvlJc w:val="left"/>
      <w:pPr>
        <w:tabs>
          <w:tab w:val="num" w:pos="2880"/>
        </w:tabs>
        <w:ind w:left="2880" w:hanging="360"/>
      </w:pPr>
      <w:rPr>
        <w:rFonts w:ascii="Wingdings" w:hAnsi="Wingdings" w:hint="default"/>
        <w:sz w:val="20"/>
      </w:rPr>
    </w:lvl>
    <w:lvl w:ilvl="4" w:tplc="2BF83B90" w:tentative="1">
      <w:start w:val="1"/>
      <w:numFmt w:val="bullet"/>
      <w:lvlText w:val=""/>
      <w:lvlJc w:val="left"/>
      <w:pPr>
        <w:tabs>
          <w:tab w:val="num" w:pos="3600"/>
        </w:tabs>
        <w:ind w:left="3600" w:hanging="360"/>
      </w:pPr>
      <w:rPr>
        <w:rFonts w:ascii="Wingdings" w:hAnsi="Wingdings" w:hint="default"/>
        <w:sz w:val="20"/>
      </w:rPr>
    </w:lvl>
    <w:lvl w:ilvl="5" w:tplc="929A948A" w:tentative="1">
      <w:start w:val="1"/>
      <w:numFmt w:val="bullet"/>
      <w:lvlText w:val=""/>
      <w:lvlJc w:val="left"/>
      <w:pPr>
        <w:tabs>
          <w:tab w:val="num" w:pos="4320"/>
        </w:tabs>
        <w:ind w:left="4320" w:hanging="360"/>
      </w:pPr>
      <w:rPr>
        <w:rFonts w:ascii="Wingdings" w:hAnsi="Wingdings" w:hint="default"/>
        <w:sz w:val="20"/>
      </w:rPr>
    </w:lvl>
    <w:lvl w:ilvl="6" w:tplc="E77AF73E" w:tentative="1">
      <w:start w:val="1"/>
      <w:numFmt w:val="bullet"/>
      <w:lvlText w:val=""/>
      <w:lvlJc w:val="left"/>
      <w:pPr>
        <w:tabs>
          <w:tab w:val="num" w:pos="5040"/>
        </w:tabs>
        <w:ind w:left="5040" w:hanging="360"/>
      </w:pPr>
      <w:rPr>
        <w:rFonts w:ascii="Wingdings" w:hAnsi="Wingdings" w:hint="default"/>
        <w:sz w:val="20"/>
      </w:rPr>
    </w:lvl>
    <w:lvl w:ilvl="7" w:tplc="CABABCCA" w:tentative="1">
      <w:start w:val="1"/>
      <w:numFmt w:val="bullet"/>
      <w:lvlText w:val=""/>
      <w:lvlJc w:val="left"/>
      <w:pPr>
        <w:tabs>
          <w:tab w:val="num" w:pos="5760"/>
        </w:tabs>
        <w:ind w:left="5760" w:hanging="360"/>
      </w:pPr>
      <w:rPr>
        <w:rFonts w:ascii="Wingdings" w:hAnsi="Wingdings" w:hint="default"/>
        <w:sz w:val="20"/>
      </w:rPr>
    </w:lvl>
    <w:lvl w:ilvl="8" w:tplc="145C6A1A"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EA5E99"/>
    <w:multiLevelType w:val="hybridMultilevel"/>
    <w:tmpl w:val="29E0D872"/>
    <w:lvl w:ilvl="0" w:tplc="C43240E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16671F"/>
    <w:multiLevelType w:val="hybridMultilevel"/>
    <w:tmpl w:val="BC9AF618"/>
    <w:lvl w:ilvl="0" w:tplc="C43240E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865281"/>
    <w:multiLevelType w:val="hybridMultilevel"/>
    <w:tmpl w:val="8500F3E2"/>
    <w:lvl w:ilvl="0" w:tplc="FD484B1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B82A15"/>
    <w:multiLevelType w:val="hybridMultilevel"/>
    <w:tmpl w:val="31088E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06264D"/>
    <w:multiLevelType w:val="hybridMultilevel"/>
    <w:tmpl w:val="0C544B88"/>
    <w:lvl w:ilvl="0" w:tplc="C43240E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6372B0"/>
    <w:multiLevelType w:val="hybridMultilevel"/>
    <w:tmpl w:val="2974B3E4"/>
    <w:lvl w:ilvl="0" w:tplc="08090019">
      <w:start w:val="1"/>
      <w:numFmt w:val="lowerLetter"/>
      <w:lvlText w:val="%1."/>
      <w:lvlJc w:val="left"/>
      <w:pPr>
        <w:tabs>
          <w:tab w:val="num" w:pos="720"/>
        </w:tabs>
        <w:ind w:left="720" w:hanging="360"/>
      </w:pPr>
      <w:rPr>
        <w:rFonts w:hint="default"/>
        <w:sz w:val="20"/>
      </w:rPr>
    </w:lvl>
    <w:lvl w:ilvl="1" w:tplc="AA16B918" w:tentative="1">
      <w:start w:val="1"/>
      <w:numFmt w:val="bullet"/>
      <w:lvlText w:val="o"/>
      <w:lvlJc w:val="left"/>
      <w:pPr>
        <w:tabs>
          <w:tab w:val="num" w:pos="1440"/>
        </w:tabs>
        <w:ind w:left="1440" w:hanging="360"/>
      </w:pPr>
      <w:rPr>
        <w:rFonts w:ascii="Courier New" w:hAnsi="Courier New" w:hint="default"/>
        <w:sz w:val="20"/>
      </w:rPr>
    </w:lvl>
    <w:lvl w:ilvl="2" w:tplc="5FEE9FC6" w:tentative="1">
      <w:start w:val="1"/>
      <w:numFmt w:val="bullet"/>
      <w:lvlText w:val=""/>
      <w:lvlJc w:val="left"/>
      <w:pPr>
        <w:tabs>
          <w:tab w:val="num" w:pos="2160"/>
        </w:tabs>
        <w:ind w:left="2160" w:hanging="360"/>
      </w:pPr>
      <w:rPr>
        <w:rFonts w:ascii="Wingdings" w:hAnsi="Wingdings" w:hint="default"/>
        <w:sz w:val="20"/>
      </w:rPr>
    </w:lvl>
    <w:lvl w:ilvl="3" w:tplc="FD22C80E" w:tentative="1">
      <w:start w:val="1"/>
      <w:numFmt w:val="bullet"/>
      <w:lvlText w:val=""/>
      <w:lvlJc w:val="left"/>
      <w:pPr>
        <w:tabs>
          <w:tab w:val="num" w:pos="2880"/>
        </w:tabs>
        <w:ind w:left="2880" w:hanging="360"/>
      </w:pPr>
      <w:rPr>
        <w:rFonts w:ascii="Wingdings" w:hAnsi="Wingdings" w:hint="default"/>
        <w:sz w:val="20"/>
      </w:rPr>
    </w:lvl>
    <w:lvl w:ilvl="4" w:tplc="6554C594" w:tentative="1">
      <w:start w:val="1"/>
      <w:numFmt w:val="bullet"/>
      <w:lvlText w:val=""/>
      <w:lvlJc w:val="left"/>
      <w:pPr>
        <w:tabs>
          <w:tab w:val="num" w:pos="3600"/>
        </w:tabs>
        <w:ind w:left="3600" w:hanging="360"/>
      </w:pPr>
      <w:rPr>
        <w:rFonts w:ascii="Wingdings" w:hAnsi="Wingdings" w:hint="default"/>
        <w:sz w:val="20"/>
      </w:rPr>
    </w:lvl>
    <w:lvl w:ilvl="5" w:tplc="745EBB2E" w:tentative="1">
      <w:start w:val="1"/>
      <w:numFmt w:val="bullet"/>
      <w:lvlText w:val=""/>
      <w:lvlJc w:val="left"/>
      <w:pPr>
        <w:tabs>
          <w:tab w:val="num" w:pos="4320"/>
        </w:tabs>
        <w:ind w:left="4320" w:hanging="360"/>
      </w:pPr>
      <w:rPr>
        <w:rFonts w:ascii="Wingdings" w:hAnsi="Wingdings" w:hint="default"/>
        <w:sz w:val="20"/>
      </w:rPr>
    </w:lvl>
    <w:lvl w:ilvl="6" w:tplc="649E6B36" w:tentative="1">
      <w:start w:val="1"/>
      <w:numFmt w:val="bullet"/>
      <w:lvlText w:val=""/>
      <w:lvlJc w:val="left"/>
      <w:pPr>
        <w:tabs>
          <w:tab w:val="num" w:pos="5040"/>
        </w:tabs>
        <w:ind w:left="5040" w:hanging="360"/>
      </w:pPr>
      <w:rPr>
        <w:rFonts w:ascii="Wingdings" w:hAnsi="Wingdings" w:hint="default"/>
        <w:sz w:val="20"/>
      </w:rPr>
    </w:lvl>
    <w:lvl w:ilvl="7" w:tplc="4FB4FC68" w:tentative="1">
      <w:start w:val="1"/>
      <w:numFmt w:val="bullet"/>
      <w:lvlText w:val=""/>
      <w:lvlJc w:val="left"/>
      <w:pPr>
        <w:tabs>
          <w:tab w:val="num" w:pos="5760"/>
        </w:tabs>
        <w:ind w:left="5760" w:hanging="360"/>
      </w:pPr>
      <w:rPr>
        <w:rFonts w:ascii="Wingdings" w:hAnsi="Wingdings" w:hint="default"/>
        <w:sz w:val="20"/>
      </w:rPr>
    </w:lvl>
    <w:lvl w:ilvl="8" w:tplc="A6581B5A"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F022FB"/>
    <w:multiLevelType w:val="hybridMultilevel"/>
    <w:tmpl w:val="59860348"/>
    <w:lvl w:ilvl="0" w:tplc="C43240E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C746D1"/>
    <w:multiLevelType w:val="hybridMultilevel"/>
    <w:tmpl w:val="605E6A78"/>
    <w:lvl w:ilvl="0" w:tplc="361C5C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895B9B"/>
    <w:multiLevelType w:val="hybridMultilevel"/>
    <w:tmpl w:val="394A4EFE"/>
    <w:lvl w:ilvl="0" w:tplc="08090019">
      <w:start w:val="1"/>
      <w:numFmt w:val="lowerLetter"/>
      <w:lvlText w:val="%1."/>
      <w:lvlJc w:val="left"/>
      <w:pPr>
        <w:tabs>
          <w:tab w:val="num" w:pos="720"/>
        </w:tabs>
        <w:ind w:left="720" w:hanging="360"/>
      </w:pPr>
      <w:rPr>
        <w:rFonts w:hint="default"/>
        <w:sz w:val="20"/>
      </w:rPr>
    </w:lvl>
    <w:lvl w:ilvl="1" w:tplc="CD3CF930" w:tentative="1">
      <w:start w:val="1"/>
      <w:numFmt w:val="bullet"/>
      <w:lvlText w:val="o"/>
      <w:lvlJc w:val="left"/>
      <w:pPr>
        <w:tabs>
          <w:tab w:val="num" w:pos="1440"/>
        </w:tabs>
        <w:ind w:left="1440" w:hanging="360"/>
      </w:pPr>
      <w:rPr>
        <w:rFonts w:ascii="Courier New" w:hAnsi="Courier New" w:hint="default"/>
        <w:sz w:val="20"/>
      </w:rPr>
    </w:lvl>
    <w:lvl w:ilvl="2" w:tplc="6330BDA0" w:tentative="1">
      <w:start w:val="1"/>
      <w:numFmt w:val="bullet"/>
      <w:lvlText w:val=""/>
      <w:lvlJc w:val="left"/>
      <w:pPr>
        <w:tabs>
          <w:tab w:val="num" w:pos="2160"/>
        </w:tabs>
        <w:ind w:left="2160" w:hanging="360"/>
      </w:pPr>
      <w:rPr>
        <w:rFonts w:ascii="Wingdings" w:hAnsi="Wingdings" w:hint="default"/>
        <w:sz w:val="20"/>
      </w:rPr>
    </w:lvl>
    <w:lvl w:ilvl="3" w:tplc="51ACCE68" w:tentative="1">
      <w:start w:val="1"/>
      <w:numFmt w:val="bullet"/>
      <w:lvlText w:val=""/>
      <w:lvlJc w:val="left"/>
      <w:pPr>
        <w:tabs>
          <w:tab w:val="num" w:pos="2880"/>
        </w:tabs>
        <w:ind w:left="2880" w:hanging="360"/>
      </w:pPr>
      <w:rPr>
        <w:rFonts w:ascii="Wingdings" w:hAnsi="Wingdings" w:hint="default"/>
        <w:sz w:val="20"/>
      </w:rPr>
    </w:lvl>
    <w:lvl w:ilvl="4" w:tplc="2BF83B90" w:tentative="1">
      <w:start w:val="1"/>
      <w:numFmt w:val="bullet"/>
      <w:lvlText w:val=""/>
      <w:lvlJc w:val="left"/>
      <w:pPr>
        <w:tabs>
          <w:tab w:val="num" w:pos="3600"/>
        </w:tabs>
        <w:ind w:left="3600" w:hanging="360"/>
      </w:pPr>
      <w:rPr>
        <w:rFonts w:ascii="Wingdings" w:hAnsi="Wingdings" w:hint="default"/>
        <w:sz w:val="20"/>
      </w:rPr>
    </w:lvl>
    <w:lvl w:ilvl="5" w:tplc="929A948A" w:tentative="1">
      <w:start w:val="1"/>
      <w:numFmt w:val="bullet"/>
      <w:lvlText w:val=""/>
      <w:lvlJc w:val="left"/>
      <w:pPr>
        <w:tabs>
          <w:tab w:val="num" w:pos="4320"/>
        </w:tabs>
        <w:ind w:left="4320" w:hanging="360"/>
      </w:pPr>
      <w:rPr>
        <w:rFonts w:ascii="Wingdings" w:hAnsi="Wingdings" w:hint="default"/>
        <w:sz w:val="20"/>
      </w:rPr>
    </w:lvl>
    <w:lvl w:ilvl="6" w:tplc="E77AF73E" w:tentative="1">
      <w:start w:val="1"/>
      <w:numFmt w:val="bullet"/>
      <w:lvlText w:val=""/>
      <w:lvlJc w:val="left"/>
      <w:pPr>
        <w:tabs>
          <w:tab w:val="num" w:pos="5040"/>
        </w:tabs>
        <w:ind w:left="5040" w:hanging="360"/>
      </w:pPr>
      <w:rPr>
        <w:rFonts w:ascii="Wingdings" w:hAnsi="Wingdings" w:hint="default"/>
        <w:sz w:val="20"/>
      </w:rPr>
    </w:lvl>
    <w:lvl w:ilvl="7" w:tplc="CABABCCA" w:tentative="1">
      <w:start w:val="1"/>
      <w:numFmt w:val="bullet"/>
      <w:lvlText w:val=""/>
      <w:lvlJc w:val="left"/>
      <w:pPr>
        <w:tabs>
          <w:tab w:val="num" w:pos="5760"/>
        </w:tabs>
        <w:ind w:left="5760" w:hanging="360"/>
      </w:pPr>
      <w:rPr>
        <w:rFonts w:ascii="Wingdings" w:hAnsi="Wingdings" w:hint="default"/>
        <w:sz w:val="20"/>
      </w:rPr>
    </w:lvl>
    <w:lvl w:ilvl="8" w:tplc="145C6A1A"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F3AB2"/>
    <w:multiLevelType w:val="hybridMultilevel"/>
    <w:tmpl w:val="F6D61360"/>
    <w:lvl w:ilvl="0" w:tplc="0809000F">
      <w:start w:val="1"/>
      <w:numFmt w:val="decimal"/>
      <w:lvlText w:val="%1."/>
      <w:lvlJc w:val="left"/>
      <w:pPr>
        <w:tabs>
          <w:tab w:val="num" w:pos="502"/>
        </w:tabs>
        <w:ind w:left="502" w:hanging="360"/>
      </w:pPr>
      <w:rPr>
        <w:rFonts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23" w15:restartNumberingAfterBreak="0">
    <w:nsid w:val="6F3229A1"/>
    <w:multiLevelType w:val="hybridMultilevel"/>
    <w:tmpl w:val="A814995C"/>
    <w:lvl w:ilvl="0" w:tplc="9CCA94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160230"/>
    <w:multiLevelType w:val="hybridMultilevel"/>
    <w:tmpl w:val="50FA194A"/>
    <w:lvl w:ilvl="0" w:tplc="C43240E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531BE4"/>
    <w:multiLevelType w:val="hybridMultilevel"/>
    <w:tmpl w:val="86943A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12"/>
  </w:num>
  <w:num w:numId="3">
    <w:abstractNumId w:val="8"/>
  </w:num>
  <w:num w:numId="4">
    <w:abstractNumId w:val="9"/>
  </w:num>
  <w:num w:numId="5">
    <w:abstractNumId w:val="6"/>
  </w:num>
  <w:num w:numId="6">
    <w:abstractNumId w:val="25"/>
  </w:num>
  <w:num w:numId="7">
    <w:abstractNumId w:val="22"/>
  </w:num>
  <w:num w:numId="8">
    <w:abstractNumId w:val="17"/>
  </w:num>
  <w:num w:numId="9">
    <w:abstractNumId w:val="3"/>
  </w:num>
  <w:num w:numId="10">
    <w:abstractNumId w:val="24"/>
  </w:num>
  <w:num w:numId="11">
    <w:abstractNumId w:val="14"/>
  </w:num>
  <w:num w:numId="12">
    <w:abstractNumId w:val="13"/>
  </w:num>
  <w:num w:numId="13">
    <w:abstractNumId w:val="19"/>
  </w:num>
  <w:num w:numId="14">
    <w:abstractNumId w:val="7"/>
  </w:num>
  <w:num w:numId="15">
    <w:abstractNumId w:val="16"/>
  </w:num>
  <w:num w:numId="16">
    <w:abstractNumId w:val="0"/>
  </w:num>
  <w:num w:numId="17">
    <w:abstractNumId w:val="4"/>
  </w:num>
  <w:num w:numId="18">
    <w:abstractNumId w:val="10"/>
  </w:num>
  <w:num w:numId="19">
    <w:abstractNumId w:val="5"/>
  </w:num>
  <w:num w:numId="20">
    <w:abstractNumId w:val="11"/>
  </w:num>
  <w:num w:numId="21">
    <w:abstractNumId w:val="21"/>
  </w:num>
  <w:num w:numId="22">
    <w:abstractNumId w:val="18"/>
  </w:num>
  <w:num w:numId="23">
    <w:abstractNumId w:val="23"/>
  </w:num>
  <w:num w:numId="24">
    <w:abstractNumId w:val="20"/>
  </w:num>
  <w:num w:numId="25">
    <w:abstractNumId w:val="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G1NDUyNjIyNTewNDJX0lEKTi0uzszPAykwrwUAHp49oywAAAA="/>
  </w:docVars>
  <w:rsids>
    <w:rsidRoot w:val="00FC5B87"/>
    <w:rsid w:val="00001740"/>
    <w:rsid w:val="00004F98"/>
    <w:rsid w:val="00020EFE"/>
    <w:rsid w:val="00021552"/>
    <w:rsid w:val="000218AE"/>
    <w:rsid w:val="000238E0"/>
    <w:rsid w:val="00025A0D"/>
    <w:rsid w:val="0003180C"/>
    <w:rsid w:val="0003717D"/>
    <w:rsid w:val="00037E19"/>
    <w:rsid w:val="000419F9"/>
    <w:rsid w:val="00043482"/>
    <w:rsid w:val="000437C1"/>
    <w:rsid w:val="000437C3"/>
    <w:rsid w:val="000447A4"/>
    <w:rsid w:val="00046D7F"/>
    <w:rsid w:val="00047516"/>
    <w:rsid w:val="000511A7"/>
    <w:rsid w:val="00051E9E"/>
    <w:rsid w:val="00052711"/>
    <w:rsid w:val="0005447E"/>
    <w:rsid w:val="00054666"/>
    <w:rsid w:val="00056826"/>
    <w:rsid w:val="0005792E"/>
    <w:rsid w:val="00065E75"/>
    <w:rsid w:val="00065FC2"/>
    <w:rsid w:val="00072F8B"/>
    <w:rsid w:val="00072FED"/>
    <w:rsid w:val="0007381D"/>
    <w:rsid w:val="000771E2"/>
    <w:rsid w:val="0008176B"/>
    <w:rsid w:val="00081A11"/>
    <w:rsid w:val="00081BC0"/>
    <w:rsid w:val="00083D66"/>
    <w:rsid w:val="000859EE"/>
    <w:rsid w:val="000939E8"/>
    <w:rsid w:val="00097F3E"/>
    <w:rsid w:val="000A0AE1"/>
    <w:rsid w:val="000A4DEA"/>
    <w:rsid w:val="000A58D5"/>
    <w:rsid w:val="000A6C69"/>
    <w:rsid w:val="000A7122"/>
    <w:rsid w:val="000A7C56"/>
    <w:rsid w:val="000B28EE"/>
    <w:rsid w:val="000B33F5"/>
    <w:rsid w:val="000B656B"/>
    <w:rsid w:val="000C0522"/>
    <w:rsid w:val="000C0B4E"/>
    <w:rsid w:val="000C2F34"/>
    <w:rsid w:val="000C4A2C"/>
    <w:rsid w:val="000C6980"/>
    <w:rsid w:val="000D060A"/>
    <w:rsid w:val="000D1526"/>
    <w:rsid w:val="000D2C0F"/>
    <w:rsid w:val="000D4B2E"/>
    <w:rsid w:val="000D56AB"/>
    <w:rsid w:val="000D5740"/>
    <w:rsid w:val="000D5E58"/>
    <w:rsid w:val="000D6AD7"/>
    <w:rsid w:val="000D6E90"/>
    <w:rsid w:val="000D71E2"/>
    <w:rsid w:val="000E1617"/>
    <w:rsid w:val="000E4645"/>
    <w:rsid w:val="000E4F49"/>
    <w:rsid w:val="000F2E2E"/>
    <w:rsid w:val="000F41F0"/>
    <w:rsid w:val="000F4D32"/>
    <w:rsid w:val="00102FC2"/>
    <w:rsid w:val="001036FE"/>
    <w:rsid w:val="001039D3"/>
    <w:rsid w:val="0010493F"/>
    <w:rsid w:val="00106F38"/>
    <w:rsid w:val="00112CE6"/>
    <w:rsid w:val="001142A8"/>
    <w:rsid w:val="0011485C"/>
    <w:rsid w:val="00122E8E"/>
    <w:rsid w:val="0013217D"/>
    <w:rsid w:val="0013608D"/>
    <w:rsid w:val="0013724D"/>
    <w:rsid w:val="001445E5"/>
    <w:rsid w:val="0014569C"/>
    <w:rsid w:val="001465E2"/>
    <w:rsid w:val="001475DC"/>
    <w:rsid w:val="00147B16"/>
    <w:rsid w:val="001505AD"/>
    <w:rsid w:val="001518CA"/>
    <w:rsid w:val="0015331A"/>
    <w:rsid w:val="00154DC8"/>
    <w:rsid w:val="00157C7B"/>
    <w:rsid w:val="0016282D"/>
    <w:rsid w:val="001630E0"/>
    <w:rsid w:val="00163BBD"/>
    <w:rsid w:val="00170901"/>
    <w:rsid w:val="0017212B"/>
    <w:rsid w:val="0017228B"/>
    <w:rsid w:val="0017246B"/>
    <w:rsid w:val="00173B71"/>
    <w:rsid w:val="00175583"/>
    <w:rsid w:val="0017602A"/>
    <w:rsid w:val="00176AD4"/>
    <w:rsid w:val="00177891"/>
    <w:rsid w:val="00180A66"/>
    <w:rsid w:val="00181E35"/>
    <w:rsid w:val="0018343D"/>
    <w:rsid w:val="0018465E"/>
    <w:rsid w:val="00185A7E"/>
    <w:rsid w:val="00185B5B"/>
    <w:rsid w:val="001867FB"/>
    <w:rsid w:val="00190D43"/>
    <w:rsid w:val="00192982"/>
    <w:rsid w:val="00195D82"/>
    <w:rsid w:val="001A008F"/>
    <w:rsid w:val="001A220D"/>
    <w:rsid w:val="001A3CE1"/>
    <w:rsid w:val="001B5E4C"/>
    <w:rsid w:val="001B76F0"/>
    <w:rsid w:val="001C7586"/>
    <w:rsid w:val="001D0650"/>
    <w:rsid w:val="001D124C"/>
    <w:rsid w:val="001D18B8"/>
    <w:rsid w:val="001D6C08"/>
    <w:rsid w:val="001E25A5"/>
    <w:rsid w:val="001E4168"/>
    <w:rsid w:val="001F2434"/>
    <w:rsid w:val="001F3D64"/>
    <w:rsid w:val="001F3F57"/>
    <w:rsid w:val="001F411B"/>
    <w:rsid w:val="001F5493"/>
    <w:rsid w:val="001F68F0"/>
    <w:rsid w:val="00201509"/>
    <w:rsid w:val="00201C45"/>
    <w:rsid w:val="0020665A"/>
    <w:rsid w:val="002066CA"/>
    <w:rsid w:val="00206C8B"/>
    <w:rsid w:val="00207915"/>
    <w:rsid w:val="00210787"/>
    <w:rsid w:val="00213C0C"/>
    <w:rsid w:val="00216399"/>
    <w:rsid w:val="00220515"/>
    <w:rsid w:val="00221D4F"/>
    <w:rsid w:val="00224751"/>
    <w:rsid w:val="00224D98"/>
    <w:rsid w:val="00230C5A"/>
    <w:rsid w:val="00231275"/>
    <w:rsid w:val="002322C7"/>
    <w:rsid w:val="0023286E"/>
    <w:rsid w:val="00232C03"/>
    <w:rsid w:val="00233E65"/>
    <w:rsid w:val="0023605F"/>
    <w:rsid w:val="00237ED6"/>
    <w:rsid w:val="00240842"/>
    <w:rsid w:val="0024601C"/>
    <w:rsid w:val="00246F01"/>
    <w:rsid w:val="002510A1"/>
    <w:rsid w:val="002520B0"/>
    <w:rsid w:val="0025332A"/>
    <w:rsid w:val="00257D5D"/>
    <w:rsid w:val="00260883"/>
    <w:rsid w:val="002622C1"/>
    <w:rsid w:val="00262906"/>
    <w:rsid w:val="00262EF7"/>
    <w:rsid w:val="002642C0"/>
    <w:rsid w:val="002650A0"/>
    <w:rsid w:val="002663C2"/>
    <w:rsid w:val="00267A36"/>
    <w:rsid w:val="0027088E"/>
    <w:rsid w:val="00270E46"/>
    <w:rsid w:val="002747F7"/>
    <w:rsid w:val="002752C9"/>
    <w:rsid w:val="00280D17"/>
    <w:rsid w:val="00287688"/>
    <w:rsid w:val="00287F90"/>
    <w:rsid w:val="00290DB9"/>
    <w:rsid w:val="002A0334"/>
    <w:rsid w:val="002A6A7F"/>
    <w:rsid w:val="002B3ED8"/>
    <w:rsid w:val="002B42A4"/>
    <w:rsid w:val="002B619D"/>
    <w:rsid w:val="002B6AEC"/>
    <w:rsid w:val="002B72D3"/>
    <w:rsid w:val="002C0170"/>
    <w:rsid w:val="002C0814"/>
    <w:rsid w:val="002C0E59"/>
    <w:rsid w:val="002C402B"/>
    <w:rsid w:val="002D12CD"/>
    <w:rsid w:val="002D3508"/>
    <w:rsid w:val="002D4031"/>
    <w:rsid w:val="002E28B1"/>
    <w:rsid w:val="002E51FE"/>
    <w:rsid w:val="002F0800"/>
    <w:rsid w:val="002F082A"/>
    <w:rsid w:val="002F11C8"/>
    <w:rsid w:val="002F212C"/>
    <w:rsid w:val="002F576D"/>
    <w:rsid w:val="003004BB"/>
    <w:rsid w:val="0030227D"/>
    <w:rsid w:val="00302337"/>
    <w:rsid w:val="003060E3"/>
    <w:rsid w:val="0031566A"/>
    <w:rsid w:val="00325A8B"/>
    <w:rsid w:val="003265C9"/>
    <w:rsid w:val="00333652"/>
    <w:rsid w:val="003364AE"/>
    <w:rsid w:val="00337395"/>
    <w:rsid w:val="003417C5"/>
    <w:rsid w:val="00341928"/>
    <w:rsid w:val="00341AC0"/>
    <w:rsid w:val="00343F69"/>
    <w:rsid w:val="00344D75"/>
    <w:rsid w:val="003457C0"/>
    <w:rsid w:val="0034679B"/>
    <w:rsid w:val="00347055"/>
    <w:rsid w:val="00350A23"/>
    <w:rsid w:val="00351051"/>
    <w:rsid w:val="003516D0"/>
    <w:rsid w:val="003522D7"/>
    <w:rsid w:val="003527C9"/>
    <w:rsid w:val="00357AD8"/>
    <w:rsid w:val="00360E12"/>
    <w:rsid w:val="00361F1E"/>
    <w:rsid w:val="0036489D"/>
    <w:rsid w:val="00365386"/>
    <w:rsid w:val="00366F82"/>
    <w:rsid w:val="00367AC9"/>
    <w:rsid w:val="00367DDE"/>
    <w:rsid w:val="0037603F"/>
    <w:rsid w:val="0038160B"/>
    <w:rsid w:val="00381A9B"/>
    <w:rsid w:val="003822C0"/>
    <w:rsid w:val="00382968"/>
    <w:rsid w:val="00382E4D"/>
    <w:rsid w:val="00386417"/>
    <w:rsid w:val="003869FF"/>
    <w:rsid w:val="0039267C"/>
    <w:rsid w:val="00394BFB"/>
    <w:rsid w:val="003A0414"/>
    <w:rsid w:val="003A47B6"/>
    <w:rsid w:val="003A53DD"/>
    <w:rsid w:val="003A7295"/>
    <w:rsid w:val="003B692E"/>
    <w:rsid w:val="003B6CF5"/>
    <w:rsid w:val="003B7AD4"/>
    <w:rsid w:val="003C2F8B"/>
    <w:rsid w:val="003C4C6D"/>
    <w:rsid w:val="003D05F1"/>
    <w:rsid w:val="003D11B4"/>
    <w:rsid w:val="003D6C30"/>
    <w:rsid w:val="003D7A15"/>
    <w:rsid w:val="003E15CF"/>
    <w:rsid w:val="003E23C7"/>
    <w:rsid w:val="003E2DC8"/>
    <w:rsid w:val="003E419C"/>
    <w:rsid w:val="003E59DE"/>
    <w:rsid w:val="003E6574"/>
    <w:rsid w:val="003F02B6"/>
    <w:rsid w:val="003F55FE"/>
    <w:rsid w:val="003F5613"/>
    <w:rsid w:val="003F686B"/>
    <w:rsid w:val="0040139F"/>
    <w:rsid w:val="00401ED5"/>
    <w:rsid w:val="00404A51"/>
    <w:rsid w:val="00405191"/>
    <w:rsid w:val="004058B4"/>
    <w:rsid w:val="00406D9B"/>
    <w:rsid w:val="004079FB"/>
    <w:rsid w:val="00421077"/>
    <w:rsid w:val="00421657"/>
    <w:rsid w:val="00423A03"/>
    <w:rsid w:val="00431352"/>
    <w:rsid w:val="00433FAA"/>
    <w:rsid w:val="00434F09"/>
    <w:rsid w:val="00442878"/>
    <w:rsid w:val="004446FF"/>
    <w:rsid w:val="00455C37"/>
    <w:rsid w:val="0046236C"/>
    <w:rsid w:val="0046318E"/>
    <w:rsid w:val="00464ACE"/>
    <w:rsid w:val="00471726"/>
    <w:rsid w:val="00472D7F"/>
    <w:rsid w:val="0047443C"/>
    <w:rsid w:val="00474C58"/>
    <w:rsid w:val="00475C46"/>
    <w:rsid w:val="0048050D"/>
    <w:rsid w:val="00483548"/>
    <w:rsid w:val="00483C93"/>
    <w:rsid w:val="004845CF"/>
    <w:rsid w:val="004912CC"/>
    <w:rsid w:val="00496D0B"/>
    <w:rsid w:val="004A2465"/>
    <w:rsid w:val="004A304E"/>
    <w:rsid w:val="004B0146"/>
    <w:rsid w:val="004B14C6"/>
    <w:rsid w:val="004B17D2"/>
    <w:rsid w:val="004B1B29"/>
    <w:rsid w:val="004B324C"/>
    <w:rsid w:val="004B6502"/>
    <w:rsid w:val="004B6736"/>
    <w:rsid w:val="004B71E7"/>
    <w:rsid w:val="004C1C3E"/>
    <w:rsid w:val="004C2AB4"/>
    <w:rsid w:val="004C537A"/>
    <w:rsid w:val="004C65B2"/>
    <w:rsid w:val="004C6FB6"/>
    <w:rsid w:val="004C76AC"/>
    <w:rsid w:val="004C782F"/>
    <w:rsid w:val="004D491C"/>
    <w:rsid w:val="004D719F"/>
    <w:rsid w:val="004E0770"/>
    <w:rsid w:val="004E2DC5"/>
    <w:rsid w:val="004E4F94"/>
    <w:rsid w:val="004E5EFA"/>
    <w:rsid w:val="004F117C"/>
    <w:rsid w:val="004F3B83"/>
    <w:rsid w:val="004F4D4C"/>
    <w:rsid w:val="004F4F3C"/>
    <w:rsid w:val="004F54B6"/>
    <w:rsid w:val="004F7DC6"/>
    <w:rsid w:val="005026D0"/>
    <w:rsid w:val="005120A2"/>
    <w:rsid w:val="005124B3"/>
    <w:rsid w:val="00513304"/>
    <w:rsid w:val="00514253"/>
    <w:rsid w:val="00514DFF"/>
    <w:rsid w:val="005163C6"/>
    <w:rsid w:val="005201E0"/>
    <w:rsid w:val="005241BE"/>
    <w:rsid w:val="00524E05"/>
    <w:rsid w:val="00525C0E"/>
    <w:rsid w:val="00530AD7"/>
    <w:rsid w:val="00531B15"/>
    <w:rsid w:val="00534CF8"/>
    <w:rsid w:val="0054241E"/>
    <w:rsid w:val="005428DD"/>
    <w:rsid w:val="005434FC"/>
    <w:rsid w:val="00543BDC"/>
    <w:rsid w:val="00545C14"/>
    <w:rsid w:val="00546D73"/>
    <w:rsid w:val="005548D2"/>
    <w:rsid w:val="005612D9"/>
    <w:rsid w:val="005621EF"/>
    <w:rsid w:val="005718D0"/>
    <w:rsid w:val="005821B2"/>
    <w:rsid w:val="005839CF"/>
    <w:rsid w:val="00584594"/>
    <w:rsid w:val="00585631"/>
    <w:rsid w:val="0058627E"/>
    <w:rsid w:val="00586E50"/>
    <w:rsid w:val="00590A13"/>
    <w:rsid w:val="00590A64"/>
    <w:rsid w:val="005916AD"/>
    <w:rsid w:val="00591B48"/>
    <w:rsid w:val="005933CA"/>
    <w:rsid w:val="005938D2"/>
    <w:rsid w:val="00596EC5"/>
    <w:rsid w:val="00596F1A"/>
    <w:rsid w:val="005A1824"/>
    <w:rsid w:val="005A28EA"/>
    <w:rsid w:val="005B3576"/>
    <w:rsid w:val="005B5933"/>
    <w:rsid w:val="005B7616"/>
    <w:rsid w:val="005C1466"/>
    <w:rsid w:val="005C3557"/>
    <w:rsid w:val="005D1546"/>
    <w:rsid w:val="005D173D"/>
    <w:rsid w:val="005D1A1D"/>
    <w:rsid w:val="005D1AEA"/>
    <w:rsid w:val="005D2889"/>
    <w:rsid w:val="005D7DD2"/>
    <w:rsid w:val="005E014F"/>
    <w:rsid w:val="005E7CF8"/>
    <w:rsid w:val="005F1B75"/>
    <w:rsid w:val="005F1D66"/>
    <w:rsid w:val="005F208D"/>
    <w:rsid w:val="005F7A29"/>
    <w:rsid w:val="0060184A"/>
    <w:rsid w:val="00601F3C"/>
    <w:rsid w:val="006039A5"/>
    <w:rsid w:val="006077A5"/>
    <w:rsid w:val="00607960"/>
    <w:rsid w:val="006158A3"/>
    <w:rsid w:val="006214D0"/>
    <w:rsid w:val="00622523"/>
    <w:rsid w:val="00624788"/>
    <w:rsid w:val="0062696F"/>
    <w:rsid w:val="00627F55"/>
    <w:rsid w:val="006306FE"/>
    <w:rsid w:val="00630869"/>
    <w:rsid w:val="006342D5"/>
    <w:rsid w:val="0063461A"/>
    <w:rsid w:val="006350B1"/>
    <w:rsid w:val="0063578B"/>
    <w:rsid w:val="00640F09"/>
    <w:rsid w:val="006415BE"/>
    <w:rsid w:val="00641909"/>
    <w:rsid w:val="006611B0"/>
    <w:rsid w:val="00662448"/>
    <w:rsid w:val="00664D7E"/>
    <w:rsid w:val="00665FF1"/>
    <w:rsid w:val="006675DA"/>
    <w:rsid w:val="00673CB9"/>
    <w:rsid w:val="00674B88"/>
    <w:rsid w:val="00675D6F"/>
    <w:rsid w:val="006804FF"/>
    <w:rsid w:val="006806D6"/>
    <w:rsid w:val="00680FB9"/>
    <w:rsid w:val="00682379"/>
    <w:rsid w:val="00683B47"/>
    <w:rsid w:val="00685ABE"/>
    <w:rsid w:val="00685E0E"/>
    <w:rsid w:val="00686D5C"/>
    <w:rsid w:val="00691368"/>
    <w:rsid w:val="00692717"/>
    <w:rsid w:val="00693F18"/>
    <w:rsid w:val="00694E91"/>
    <w:rsid w:val="006959B2"/>
    <w:rsid w:val="006962DA"/>
    <w:rsid w:val="006A01E6"/>
    <w:rsid w:val="006A1783"/>
    <w:rsid w:val="006A36B1"/>
    <w:rsid w:val="006B0FFF"/>
    <w:rsid w:val="006B5E1F"/>
    <w:rsid w:val="006C02DE"/>
    <w:rsid w:val="006C05FE"/>
    <w:rsid w:val="006D1184"/>
    <w:rsid w:val="006D1D52"/>
    <w:rsid w:val="006D7024"/>
    <w:rsid w:val="006D7575"/>
    <w:rsid w:val="006E402C"/>
    <w:rsid w:val="006E65FA"/>
    <w:rsid w:val="006F1AA1"/>
    <w:rsid w:val="006F44CE"/>
    <w:rsid w:val="006F4F87"/>
    <w:rsid w:val="00700BEB"/>
    <w:rsid w:val="00701A2B"/>
    <w:rsid w:val="00701E95"/>
    <w:rsid w:val="0070706C"/>
    <w:rsid w:val="00712009"/>
    <w:rsid w:val="00715EAF"/>
    <w:rsid w:val="00720A81"/>
    <w:rsid w:val="00720D3B"/>
    <w:rsid w:val="00722CB3"/>
    <w:rsid w:val="007250C2"/>
    <w:rsid w:val="007301EB"/>
    <w:rsid w:val="00731ECB"/>
    <w:rsid w:val="0073380A"/>
    <w:rsid w:val="007365F1"/>
    <w:rsid w:val="00737D69"/>
    <w:rsid w:val="00742DBE"/>
    <w:rsid w:val="00742EA5"/>
    <w:rsid w:val="00743DB2"/>
    <w:rsid w:val="0075059F"/>
    <w:rsid w:val="0075289E"/>
    <w:rsid w:val="0076204A"/>
    <w:rsid w:val="00764989"/>
    <w:rsid w:val="007653FF"/>
    <w:rsid w:val="0076612F"/>
    <w:rsid w:val="00766624"/>
    <w:rsid w:val="00772597"/>
    <w:rsid w:val="0077475E"/>
    <w:rsid w:val="00774C80"/>
    <w:rsid w:val="00777C70"/>
    <w:rsid w:val="00781FB5"/>
    <w:rsid w:val="007844AD"/>
    <w:rsid w:val="00790FFE"/>
    <w:rsid w:val="00791990"/>
    <w:rsid w:val="00791E5E"/>
    <w:rsid w:val="00794533"/>
    <w:rsid w:val="00794D60"/>
    <w:rsid w:val="0079636F"/>
    <w:rsid w:val="00797072"/>
    <w:rsid w:val="00797FA7"/>
    <w:rsid w:val="007A5175"/>
    <w:rsid w:val="007A53C7"/>
    <w:rsid w:val="007A71F4"/>
    <w:rsid w:val="007B1EA4"/>
    <w:rsid w:val="007B579D"/>
    <w:rsid w:val="007B60F9"/>
    <w:rsid w:val="007B66B0"/>
    <w:rsid w:val="007C0DA4"/>
    <w:rsid w:val="007C0FB2"/>
    <w:rsid w:val="007C5DE8"/>
    <w:rsid w:val="007C5F0D"/>
    <w:rsid w:val="007D000C"/>
    <w:rsid w:val="007D0CFB"/>
    <w:rsid w:val="007D43B7"/>
    <w:rsid w:val="007D66AE"/>
    <w:rsid w:val="007E4CFB"/>
    <w:rsid w:val="007E7812"/>
    <w:rsid w:val="007F0C28"/>
    <w:rsid w:val="007F11F3"/>
    <w:rsid w:val="007F4704"/>
    <w:rsid w:val="007F5DF9"/>
    <w:rsid w:val="007F5E25"/>
    <w:rsid w:val="007F71D1"/>
    <w:rsid w:val="008006FA"/>
    <w:rsid w:val="0080175B"/>
    <w:rsid w:val="00811E76"/>
    <w:rsid w:val="0081319B"/>
    <w:rsid w:val="0081483D"/>
    <w:rsid w:val="0081547B"/>
    <w:rsid w:val="00816294"/>
    <w:rsid w:val="008166D8"/>
    <w:rsid w:val="008170F5"/>
    <w:rsid w:val="00821EF5"/>
    <w:rsid w:val="008223D7"/>
    <w:rsid w:val="00824D5E"/>
    <w:rsid w:val="008253F3"/>
    <w:rsid w:val="008272E5"/>
    <w:rsid w:val="0083077E"/>
    <w:rsid w:val="0083153A"/>
    <w:rsid w:val="008322BD"/>
    <w:rsid w:val="008328AA"/>
    <w:rsid w:val="00833A29"/>
    <w:rsid w:val="00835341"/>
    <w:rsid w:val="00836E26"/>
    <w:rsid w:val="00841552"/>
    <w:rsid w:val="0084364A"/>
    <w:rsid w:val="00844B0E"/>
    <w:rsid w:val="0084533D"/>
    <w:rsid w:val="008524C5"/>
    <w:rsid w:val="00856651"/>
    <w:rsid w:val="0085715A"/>
    <w:rsid w:val="008604D4"/>
    <w:rsid w:val="0086500C"/>
    <w:rsid w:val="00865842"/>
    <w:rsid w:val="00870364"/>
    <w:rsid w:val="008713E5"/>
    <w:rsid w:val="00873AA6"/>
    <w:rsid w:val="0087667D"/>
    <w:rsid w:val="00880715"/>
    <w:rsid w:val="00882904"/>
    <w:rsid w:val="00882C1E"/>
    <w:rsid w:val="00883228"/>
    <w:rsid w:val="0088638A"/>
    <w:rsid w:val="00886D19"/>
    <w:rsid w:val="0089005C"/>
    <w:rsid w:val="00892283"/>
    <w:rsid w:val="0089650A"/>
    <w:rsid w:val="008A4958"/>
    <w:rsid w:val="008A5D64"/>
    <w:rsid w:val="008A6E28"/>
    <w:rsid w:val="008B7F82"/>
    <w:rsid w:val="008C0185"/>
    <w:rsid w:val="008C0A2E"/>
    <w:rsid w:val="008C1DE9"/>
    <w:rsid w:val="008C48EC"/>
    <w:rsid w:val="008C638D"/>
    <w:rsid w:val="008D2311"/>
    <w:rsid w:val="008D30D5"/>
    <w:rsid w:val="008D78FD"/>
    <w:rsid w:val="008E15FC"/>
    <w:rsid w:val="008E3058"/>
    <w:rsid w:val="008E36CA"/>
    <w:rsid w:val="008F064F"/>
    <w:rsid w:val="008F20EE"/>
    <w:rsid w:val="008F2724"/>
    <w:rsid w:val="008F3014"/>
    <w:rsid w:val="00901625"/>
    <w:rsid w:val="00901F19"/>
    <w:rsid w:val="00902CF9"/>
    <w:rsid w:val="009043FD"/>
    <w:rsid w:val="00904B63"/>
    <w:rsid w:val="00904EE8"/>
    <w:rsid w:val="009058FB"/>
    <w:rsid w:val="00912047"/>
    <w:rsid w:val="00915D2A"/>
    <w:rsid w:val="00922D0C"/>
    <w:rsid w:val="00925AAE"/>
    <w:rsid w:val="00927ECE"/>
    <w:rsid w:val="00933B8E"/>
    <w:rsid w:val="00935927"/>
    <w:rsid w:val="00943FEA"/>
    <w:rsid w:val="009446CA"/>
    <w:rsid w:val="009448BE"/>
    <w:rsid w:val="00945B69"/>
    <w:rsid w:val="00947894"/>
    <w:rsid w:val="0095013A"/>
    <w:rsid w:val="00952C28"/>
    <w:rsid w:val="00956F4E"/>
    <w:rsid w:val="00960909"/>
    <w:rsid w:val="009623AF"/>
    <w:rsid w:val="009633C5"/>
    <w:rsid w:val="00963BEB"/>
    <w:rsid w:val="0096480A"/>
    <w:rsid w:val="009676D6"/>
    <w:rsid w:val="009706B7"/>
    <w:rsid w:val="009708BC"/>
    <w:rsid w:val="00972D76"/>
    <w:rsid w:val="00972E4A"/>
    <w:rsid w:val="00973C1F"/>
    <w:rsid w:val="00973FE5"/>
    <w:rsid w:val="00980D24"/>
    <w:rsid w:val="00986D45"/>
    <w:rsid w:val="00987042"/>
    <w:rsid w:val="00994772"/>
    <w:rsid w:val="00994F46"/>
    <w:rsid w:val="00995240"/>
    <w:rsid w:val="00995A1F"/>
    <w:rsid w:val="009A11B4"/>
    <w:rsid w:val="009A1667"/>
    <w:rsid w:val="009A27B4"/>
    <w:rsid w:val="009A2874"/>
    <w:rsid w:val="009A4B65"/>
    <w:rsid w:val="009A544B"/>
    <w:rsid w:val="009A66E8"/>
    <w:rsid w:val="009A6714"/>
    <w:rsid w:val="009B3C6F"/>
    <w:rsid w:val="009B478E"/>
    <w:rsid w:val="009B4AB2"/>
    <w:rsid w:val="009B7964"/>
    <w:rsid w:val="009C020A"/>
    <w:rsid w:val="009C0C06"/>
    <w:rsid w:val="009C29BA"/>
    <w:rsid w:val="009C77C0"/>
    <w:rsid w:val="009D0DA0"/>
    <w:rsid w:val="009D181C"/>
    <w:rsid w:val="009D32DE"/>
    <w:rsid w:val="009D4A5D"/>
    <w:rsid w:val="009E0B8E"/>
    <w:rsid w:val="009E0DDD"/>
    <w:rsid w:val="009E1400"/>
    <w:rsid w:val="009E1BE8"/>
    <w:rsid w:val="009E218A"/>
    <w:rsid w:val="009E26ED"/>
    <w:rsid w:val="009E3833"/>
    <w:rsid w:val="009E411F"/>
    <w:rsid w:val="009E6912"/>
    <w:rsid w:val="009F2612"/>
    <w:rsid w:val="009F33AD"/>
    <w:rsid w:val="009F3C44"/>
    <w:rsid w:val="009F42F6"/>
    <w:rsid w:val="009F4DB3"/>
    <w:rsid w:val="009F62BC"/>
    <w:rsid w:val="009F7199"/>
    <w:rsid w:val="00A00098"/>
    <w:rsid w:val="00A015C2"/>
    <w:rsid w:val="00A02D33"/>
    <w:rsid w:val="00A04702"/>
    <w:rsid w:val="00A05B4B"/>
    <w:rsid w:val="00A07626"/>
    <w:rsid w:val="00A1107C"/>
    <w:rsid w:val="00A13A65"/>
    <w:rsid w:val="00A15521"/>
    <w:rsid w:val="00A2209E"/>
    <w:rsid w:val="00A22E3D"/>
    <w:rsid w:val="00A23452"/>
    <w:rsid w:val="00A23726"/>
    <w:rsid w:val="00A25361"/>
    <w:rsid w:val="00A26782"/>
    <w:rsid w:val="00A32902"/>
    <w:rsid w:val="00A34BF4"/>
    <w:rsid w:val="00A35ABA"/>
    <w:rsid w:val="00A40187"/>
    <w:rsid w:val="00A414E1"/>
    <w:rsid w:val="00A42986"/>
    <w:rsid w:val="00A46827"/>
    <w:rsid w:val="00A47C4D"/>
    <w:rsid w:val="00A5018C"/>
    <w:rsid w:val="00A51E39"/>
    <w:rsid w:val="00A52140"/>
    <w:rsid w:val="00A5549B"/>
    <w:rsid w:val="00A638F5"/>
    <w:rsid w:val="00A65BAF"/>
    <w:rsid w:val="00A663D0"/>
    <w:rsid w:val="00A70968"/>
    <w:rsid w:val="00A74743"/>
    <w:rsid w:val="00A774D1"/>
    <w:rsid w:val="00A8057B"/>
    <w:rsid w:val="00A8290B"/>
    <w:rsid w:val="00A85D64"/>
    <w:rsid w:val="00A904F8"/>
    <w:rsid w:val="00A91D65"/>
    <w:rsid w:val="00A93E89"/>
    <w:rsid w:val="00A943EF"/>
    <w:rsid w:val="00A97B92"/>
    <w:rsid w:val="00A97EFC"/>
    <w:rsid w:val="00AA0584"/>
    <w:rsid w:val="00AA44E3"/>
    <w:rsid w:val="00AA54F4"/>
    <w:rsid w:val="00AA61DD"/>
    <w:rsid w:val="00AA6B8F"/>
    <w:rsid w:val="00AA789C"/>
    <w:rsid w:val="00AB1F8F"/>
    <w:rsid w:val="00AB21F7"/>
    <w:rsid w:val="00AB4751"/>
    <w:rsid w:val="00AB5F80"/>
    <w:rsid w:val="00AB6C77"/>
    <w:rsid w:val="00AC05EF"/>
    <w:rsid w:val="00AC7D97"/>
    <w:rsid w:val="00AD5907"/>
    <w:rsid w:val="00AE3321"/>
    <w:rsid w:val="00AE3C6F"/>
    <w:rsid w:val="00AE4A2A"/>
    <w:rsid w:val="00AF0A00"/>
    <w:rsid w:val="00AF4FC1"/>
    <w:rsid w:val="00B00C90"/>
    <w:rsid w:val="00B013C6"/>
    <w:rsid w:val="00B01815"/>
    <w:rsid w:val="00B04FC2"/>
    <w:rsid w:val="00B05F7C"/>
    <w:rsid w:val="00B1046F"/>
    <w:rsid w:val="00B11D8C"/>
    <w:rsid w:val="00B12E12"/>
    <w:rsid w:val="00B13073"/>
    <w:rsid w:val="00B14BEC"/>
    <w:rsid w:val="00B14FBD"/>
    <w:rsid w:val="00B16D53"/>
    <w:rsid w:val="00B243B5"/>
    <w:rsid w:val="00B24974"/>
    <w:rsid w:val="00B25BEE"/>
    <w:rsid w:val="00B26E4E"/>
    <w:rsid w:val="00B27460"/>
    <w:rsid w:val="00B308B9"/>
    <w:rsid w:val="00B3306D"/>
    <w:rsid w:val="00B33574"/>
    <w:rsid w:val="00B35429"/>
    <w:rsid w:val="00B40797"/>
    <w:rsid w:val="00B40DA9"/>
    <w:rsid w:val="00B41830"/>
    <w:rsid w:val="00B43F66"/>
    <w:rsid w:val="00B47019"/>
    <w:rsid w:val="00B47276"/>
    <w:rsid w:val="00B531D8"/>
    <w:rsid w:val="00B56BD0"/>
    <w:rsid w:val="00B57E12"/>
    <w:rsid w:val="00B605EF"/>
    <w:rsid w:val="00B63DBA"/>
    <w:rsid w:val="00B66449"/>
    <w:rsid w:val="00B70CDF"/>
    <w:rsid w:val="00B77295"/>
    <w:rsid w:val="00B777F8"/>
    <w:rsid w:val="00B80800"/>
    <w:rsid w:val="00B844E7"/>
    <w:rsid w:val="00B86928"/>
    <w:rsid w:val="00B90A36"/>
    <w:rsid w:val="00B910B5"/>
    <w:rsid w:val="00B9248F"/>
    <w:rsid w:val="00B92A04"/>
    <w:rsid w:val="00BA02A5"/>
    <w:rsid w:val="00BA0D5E"/>
    <w:rsid w:val="00BA3DCB"/>
    <w:rsid w:val="00BA410A"/>
    <w:rsid w:val="00BB41DF"/>
    <w:rsid w:val="00BB7719"/>
    <w:rsid w:val="00BC062B"/>
    <w:rsid w:val="00BC0A11"/>
    <w:rsid w:val="00BC2F99"/>
    <w:rsid w:val="00BC34AD"/>
    <w:rsid w:val="00BC3560"/>
    <w:rsid w:val="00BC5937"/>
    <w:rsid w:val="00BD07C2"/>
    <w:rsid w:val="00BD2FD8"/>
    <w:rsid w:val="00BD3697"/>
    <w:rsid w:val="00BD6318"/>
    <w:rsid w:val="00BE0419"/>
    <w:rsid w:val="00BE1067"/>
    <w:rsid w:val="00BE1288"/>
    <w:rsid w:val="00BE2D3E"/>
    <w:rsid w:val="00BE3048"/>
    <w:rsid w:val="00BE3A1B"/>
    <w:rsid w:val="00BE48B8"/>
    <w:rsid w:val="00BE606C"/>
    <w:rsid w:val="00BF244F"/>
    <w:rsid w:val="00BF4954"/>
    <w:rsid w:val="00BF6D08"/>
    <w:rsid w:val="00BF7F6C"/>
    <w:rsid w:val="00C00F5B"/>
    <w:rsid w:val="00C01801"/>
    <w:rsid w:val="00C05759"/>
    <w:rsid w:val="00C063B9"/>
    <w:rsid w:val="00C11C01"/>
    <w:rsid w:val="00C126FD"/>
    <w:rsid w:val="00C22B36"/>
    <w:rsid w:val="00C22ECD"/>
    <w:rsid w:val="00C24A09"/>
    <w:rsid w:val="00C24F1B"/>
    <w:rsid w:val="00C25A83"/>
    <w:rsid w:val="00C33EC8"/>
    <w:rsid w:val="00C34440"/>
    <w:rsid w:val="00C35C8D"/>
    <w:rsid w:val="00C43787"/>
    <w:rsid w:val="00C46645"/>
    <w:rsid w:val="00C5231D"/>
    <w:rsid w:val="00C528E3"/>
    <w:rsid w:val="00C535E4"/>
    <w:rsid w:val="00C57E8D"/>
    <w:rsid w:val="00C6171B"/>
    <w:rsid w:val="00C61AB1"/>
    <w:rsid w:val="00C638C6"/>
    <w:rsid w:val="00C66AAB"/>
    <w:rsid w:val="00C67855"/>
    <w:rsid w:val="00C7353F"/>
    <w:rsid w:val="00C80293"/>
    <w:rsid w:val="00C814CC"/>
    <w:rsid w:val="00C815D6"/>
    <w:rsid w:val="00C8283F"/>
    <w:rsid w:val="00C837E3"/>
    <w:rsid w:val="00C90B8A"/>
    <w:rsid w:val="00C941E1"/>
    <w:rsid w:val="00C97DF1"/>
    <w:rsid w:val="00CA070A"/>
    <w:rsid w:val="00CA1C28"/>
    <w:rsid w:val="00CA3AFF"/>
    <w:rsid w:val="00CA3B4A"/>
    <w:rsid w:val="00CA3D36"/>
    <w:rsid w:val="00CA4752"/>
    <w:rsid w:val="00CA6D97"/>
    <w:rsid w:val="00CA7F62"/>
    <w:rsid w:val="00CB03F7"/>
    <w:rsid w:val="00CB4792"/>
    <w:rsid w:val="00CB4FD3"/>
    <w:rsid w:val="00CC24D0"/>
    <w:rsid w:val="00CD3A81"/>
    <w:rsid w:val="00CD5013"/>
    <w:rsid w:val="00CD6B98"/>
    <w:rsid w:val="00CE09B6"/>
    <w:rsid w:val="00CE274A"/>
    <w:rsid w:val="00CE3FCA"/>
    <w:rsid w:val="00CE440B"/>
    <w:rsid w:val="00CE51AC"/>
    <w:rsid w:val="00CE7241"/>
    <w:rsid w:val="00CF05C4"/>
    <w:rsid w:val="00CF0BD2"/>
    <w:rsid w:val="00CF1D58"/>
    <w:rsid w:val="00CF4C7B"/>
    <w:rsid w:val="00CF6998"/>
    <w:rsid w:val="00CF6E37"/>
    <w:rsid w:val="00D0279B"/>
    <w:rsid w:val="00D03215"/>
    <w:rsid w:val="00D1440D"/>
    <w:rsid w:val="00D1754E"/>
    <w:rsid w:val="00D21456"/>
    <w:rsid w:val="00D25DF8"/>
    <w:rsid w:val="00D268EF"/>
    <w:rsid w:val="00D30435"/>
    <w:rsid w:val="00D334EB"/>
    <w:rsid w:val="00D34237"/>
    <w:rsid w:val="00D406D8"/>
    <w:rsid w:val="00D40EF9"/>
    <w:rsid w:val="00D43BBE"/>
    <w:rsid w:val="00D45179"/>
    <w:rsid w:val="00D470FB"/>
    <w:rsid w:val="00D5265C"/>
    <w:rsid w:val="00D52A5C"/>
    <w:rsid w:val="00D5702A"/>
    <w:rsid w:val="00D57C6B"/>
    <w:rsid w:val="00D60F6B"/>
    <w:rsid w:val="00D643EC"/>
    <w:rsid w:val="00D6539E"/>
    <w:rsid w:val="00D65F50"/>
    <w:rsid w:val="00D77EF0"/>
    <w:rsid w:val="00D80303"/>
    <w:rsid w:val="00D85634"/>
    <w:rsid w:val="00D86AC3"/>
    <w:rsid w:val="00D8711E"/>
    <w:rsid w:val="00D9022D"/>
    <w:rsid w:val="00D90D03"/>
    <w:rsid w:val="00D9163D"/>
    <w:rsid w:val="00D936CF"/>
    <w:rsid w:val="00D95C10"/>
    <w:rsid w:val="00D962E5"/>
    <w:rsid w:val="00D97DE0"/>
    <w:rsid w:val="00DA116D"/>
    <w:rsid w:val="00DA1B52"/>
    <w:rsid w:val="00DA29F0"/>
    <w:rsid w:val="00DA5F0D"/>
    <w:rsid w:val="00DB15B4"/>
    <w:rsid w:val="00DC17AC"/>
    <w:rsid w:val="00DC32D0"/>
    <w:rsid w:val="00DD046B"/>
    <w:rsid w:val="00DD0CBA"/>
    <w:rsid w:val="00DD0D2F"/>
    <w:rsid w:val="00DD24EE"/>
    <w:rsid w:val="00DD279A"/>
    <w:rsid w:val="00DD3916"/>
    <w:rsid w:val="00DD4316"/>
    <w:rsid w:val="00DD44EC"/>
    <w:rsid w:val="00DD4B28"/>
    <w:rsid w:val="00DD5334"/>
    <w:rsid w:val="00DD79C1"/>
    <w:rsid w:val="00DD7E6C"/>
    <w:rsid w:val="00DE05EB"/>
    <w:rsid w:val="00DE13EF"/>
    <w:rsid w:val="00DE2AFD"/>
    <w:rsid w:val="00DE7563"/>
    <w:rsid w:val="00DE7800"/>
    <w:rsid w:val="00DF2718"/>
    <w:rsid w:val="00DF39DF"/>
    <w:rsid w:val="00DF62B6"/>
    <w:rsid w:val="00DF753E"/>
    <w:rsid w:val="00E0022B"/>
    <w:rsid w:val="00E00B1B"/>
    <w:rsid w:val="00E00DA0"/>
    <w:rsid w:val="00E0632D"/>
    <w:rsid w:val="00E10AEF"/>
    <w:rsid w:val="00E10F2B"/>
    <w:rsid w:val="00E206A3"/>
    <w:rsid w:val="00E31963"/>
    <w:rsid w:val="00E42F64"/>
    <w:rsid w:val="00E50C75"/>
    <w:rsid w:val="00E60E24"/>
    <w:rsid w:val="00E633ED"/>
    <w:rsid w:val="00E70A94"/>
    <w:rsid w:val="00E70FAB"/>
    <w:rsid w:val="00E716CB"/>
    <w:rsid w:val="00E717BC"/>
    <w:rsid w:val="00E7514D"/>
    <w:rsid w:val="00E765ED"/>
    <w:rsid w:val="00E77ED8"/>
    <w:rsid w:val="00E814EB"/>
    <w:rsid w:val="00E816DA"/>
    <w:rsid w:val="00E83FCE"/>
    <w:rsid w:val="00E84008"/>
    <w:rsid w:val="00E85259"/>
    <w:rsid w:val="00E86C1C"/>
    <w:rsid w:val="00E90242"/>
    <w:rsid w:val="00E9045F"/>
    <w:rsid w:val="00E90616"/>
    <w:rsid w:val="00E97B53"/>
    <w:rsid w:val="00EA157D"/>
    <w:rsid w:val="00EA2BD8"/>
    <w:rsid w:val="00EA2BE3"/>
    <w:rsid w:val="00EA4004"/>
    <w:rsid w:val="00EA7C81"/>
    <w:rsid w:val="00EB03E9"/>
    <w:rsid w:val="00EB1255"/>
    <w:rsid w:val="00EB17B4"/>
    <w:rsid w:val="00EB3713"/>
    <w:rsid w:val="00EB5B39"/>
    <w:rsid w:val="00EC029E"/>
    <w:rsid w:val="00EC3598"/>
    <w:rsid w:val="00ED1DAA"/>
    <w:rsid w:val="00ED2AC0"/>
    <w:rsid w:val="00ED744D"/>
    <w:rsid w:val="00EE2A11"/>
    <w:rsid w:val="00EE3D28"/>
    <w:rsid w:val="00EE426C"/>
    <w:rsid w:val="00EE781A"/>
    <w:rsid w:val="00EF07C6"/>
    <w:rsid w:val="00EF1043"/>
    <w:rsid w:val="00EF2F12"/>
    <w:rsid w:val="00EF4E5F"/>
    <w:rsid w:val="00F01583"/>
    <w:rsid w:val="00F01F18"/>
    <w:rsid w:val="00F077B2"/>
    <w:rsid w:val="00F10D64"/>
    <w:rsid w:val="00F10F85"/>
    <w:rsid w:val="00F122C4"/>
    <w:rsid w:val="00F12F6A"/>
    <w:rsid w:val="00F14B36"/>
    <w:rsid w:val="00F2664D"/>
    <w:rsid w:val="00F31324"/>
    <w:rsid w:val="00F32671"/>
    <w:rsid w:val="00F32D32"/>
    <w:rsid w:val="00F34169"/>
    <w:rsid w:val="00F34E98"/>
    <w:rsid w:val="00F40D51"/>
    <w:rsid w:val="00F43D86"/>
    <w:rsid w:val="00F473C1"/>
    <w:rsid w:val="00F47FCE"/>
    <w:rsid w:val="00F54A89"/>
    <w:rsid w:val="00F54B72"/>
    <w:rsid w:val="00F55725"/>
    <w:rsid w:val="00F55763"/>
    <w:rsid w:val="00F5613A"/>
    <w:rsid w:val="00F57BC8"/>
    <w:rsid w:val="00F61459"/>
    <w:rsid w:val="00F625D8"/>
    <w:rsid w:val="00F65B99"/>
    <w:rsid w:val="00F74773"/>
    <w:rsid w:val="00F80CBB"/>
    <w:rsid w:val="00F81732"/>
    <w:rsid w:val="00F83139"/>
    <w:rsid w:val="00F835AB"/>
    <w:rsid w:val="00F85103"/>
    <w:rsid w:val="00F86318"/>
    <w:rsid w:val="00F874C2"/>
    <w:rsid w:val="00F87521"/>
    <w:rsid w:val="00F87D50"/>
    <w:rsid w:val="00F90C3F"/>
    <w:rsid w:val="00F939C4"/>
    <w:rsid w:val="00F94EBF"/>
    <w:rsid w:val="00F9515B"/>
    <w:rsid w:val="00F957E7"/>
    <w:rsid w:val="00FA383B"/>
    <w:rsid w:val="00FA4866"/>
    <w:rsid w:val="00FB08D0"/>
    <w:rsid w:val="00FB1849"/>
    <w:rsid w:val="00FB47F6"/>
    <w:rsid w:val="00FC0482"/>
    <w:rsid w:val="00FC09A5"/>
    <w:rsid w:val="00FC0B86"/>
    <w:rsid w:val="00FC0E87"/>
    <w:rsid w:val="00FC21C2"/>
    <w:rsid w:val="00FC5415"/>
    <w:rsid w:val="00FC5B87"/>
    <w:rsid w:val="00FC5D09"/>
    <w:rsid w:val="00FC7FC2"/>
    <w:rsid w:val="00FD5BCD"/>
    <w:rsid w:val="00FD6357"/>
    <w:rsid w:val="00FE0D3E"/>
    <w:rsid w:val="00FE293F"/>
    <w:rsid w:val="00FE5A47"/>
    <w:rsid w:val="00FE5B3A"/>
    <w:rsid w:val="00FF0A3F"/>
    <w:rsid w:val="00FF2261"/>
    <w:rsid w:val="00FF3C8A"/>
    <w:rsid w:val="00FF59C5"/>
    <w:rsid w:val="46EA842B"/>
    <w:rsid w:val="4A954F25"/>
    <w:rsid w:val="4DE4DFC0"/>
    <w:rsid w:val="51E9A9B4"/>
    <w:rsid w:val="642AE08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277FD759"/>
  <w15:docId w15:val="{15E49054-29E2-4513-9C2A-B48FB262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07C"/>
    <w:rPr>
      <w:sz w:val="24"/>
      <w:szCs w:val="24"/>
      <w:lang w:val="en-GB" w:eastAsia="en-GB"/>
    </w:rPr>
  </w:style>
  <w:style w:type="paragraph" w:styleId="Heading1">
    <w:name w:val="heading 1"/>
    <w:basedOn w:val="Normal"/>
    <w:next w:val="Normal"/>
    <w:qFormat/>
    <w:rsid w:val="00FC5B8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C5B8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C5B8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ing">
    <w:name w:val="Paragraph Numbering"/>
    <w:basedOn w:val="Heading2"/>
    <w:rsid w:val="00FC5B87"/>
    <w:pPr>
      <w:keepNext w:val="0"/>
      <w:numPr>
        <w:ilvl w:val="1"/>
        <w:numId w:val="1"/>
      </w:numPr>
      <w:spacing w:before="0" w:after="240"/>
      <w:outlineLvl w:val="9"/>
    </w:pPr>
    <w:rPr>
      <w:rFonts w:cs="Times New Roman"/>
      <w:b w:val="0"/>
      <w:bCs w:val="0"/>
      <w:i w:val="0"/>
      <w:iCs w:val="0"/>
      <w:sz w:val="24"/>
      <w:szCs w:val="24"/>
      <w:lang w:eastAsia="en-US"/>
    </w:rPr>
  </w:style>
  <w:style w:type="paragraph" w:customStyle="1" w:styleId="Chapterheading">
    <w:name w:val="Chapter heading"/>
    <w:basedOn w:val="Heading1"/>
    <w:next w:val="Normal"/>
    <w:rsid w:val="00FC5B87"/>
    <w:pPr>
      <w:numPr>
        <w:numId w:val="1"/>
      </w:numPr>
      <w:spacing w:before="0" w:after="240"/>
    </w:pPr>
    <w:rPr>
      <w:kern w:val="0"/>
      <w:sz w:val="28"/>
      <w:szCs w:val="24"/>
      <w:lang w:eastAsia="en-US"/>
    </w:rPr>
  </w:style>
  <w:style w:type="paragraph" w:customStyle="1" w:styleId="CM10">
    <w:name w:val="CM10"/>
    <w:basedOn w:val="Normal"/>
    <w:next w:val="Normal"/>
    <w:rsid w:val="00FC5B87"/>
    <w:pPr>
      <w:widowControl w:val="0"/>
      <w:autoSpaceDE w:val="0"/>
      <w:autoSpaceDN w:val="0"/>
      <w:adjustRightInd w:val="0"/>
    </w:pPr>
    <w:rPr>
      <w:rFonts w:ascii="Arial" w:hAnsi="Arial"/>
    </w:rPr>
  </w:style>
  <w:style w:type="table" w:styleId="TableGrid">
    <w:name w:val="Table Grid"/>
    <w:basedOn w:val="TableNormal"/>
    <w:rsid w:val="00FC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C5B87"/>
    <w:rPr>
      <w:sz w:val="20"/>
      <w:szCs w:val="20"/>
    </w:rPr>
  </w:style>
  <w:style w:type="character" w:styleId="FootnoteReference">
    <w:name w:val="footnote reference"/>
    <w:semiHidden/>
    <w:rsid w:val="00FC5B87"/>
    <w:rPr>
      <w:vertAlign w:val="superscript"/>
    </w:rPr>
  </w:style>
  <w:style w:type="paragraph" w:customStyle="1" w:styleId="Default">
    <w:name w:val="Default"/>
    <w:rsid w:val="00FC5B87"/>
    <w:pPr>
      <w:widowControl w:val="0"/>
      <w:autoSpaceDE w:val="0"/>
      <w:autoSpaceDN w:val="0"/>
      <w:adjustRightInd w:val="0"/>
    </w:pPr>
    <w:rPr>
      <w:rFonts w:ascii="Arial" w:hAnsi="Arial" w:cs="Arial"/>
      <w:color w:val="000000"/>
      <w:sz w:val="24"/>
      <w:szCs w:val="24"/>
      <w:lang w:val="en-GB" w:eastAsia="en-GB"/>
    </w:rPr>
  </w:style>
  <w:style w:type="paragraph" w:customStyle="1" w:styleId="CM13">
    <w:name w:val="CM13"/>
    <w:basedOn w:val="Default"/>
    <w:next w:val="Default"/>
    <w:rsid w:val="00FC5B87"/>
    <w:rPr>
      <w:rFonts w:cs="Times New Roman"/>
      <w:color w:val="auto"/>
    </w:rPr>
  </w:style>
  <w:style w:type="character" w:styleId="CommentReference">
    <w:name w:val="annotation reference"/>
    <w:semiHidden/>
    <w:rsid w:val="00FC5B87"/>
    <w:rPr>
      <w:sz w:val="16"/>
      <w:szCs w:val="16"/>
    </w:rPr>
  </w:style>
  <w:style w:type="paragraph" w:styleId="CommentText">
    <w:name w:val="annotation text"/>
    <w:basedOn w:val="Normal"/>
    <w:link w:val="CommentTextChar"/>
    <w:semiHidden/>
    <w:rsid w:val="00FC5B87"/>
    <w:rPr>
      <w:sz w:val="20"/>
      <w:szCs w:val="20"/>
    </w:rPr>
  </w:style>
  <w:style w:type="paragraph" w:styleId="BalloonText">
    <w:name w:val="Balloon Text"/>
    <w:basedOn w:val="Normal"/>
    <w:semiHidden/>
    <w:rsid w:val="00FC5B87"/>
    <w:rPr>
      <w:rFonts w:ascii="Tahoma" w:hAnsi="Tahoma" w:cs="Tahoma"/>
      <w:sz w:val="16"/>
      <w:szCs w:val="16"/>
    </w:rPr>
  </w:style>
  <w:style w:type="paragraph" w:styleId="Footer">
    <w:name w:val="footer"/>
    <w:basedOn w:val="Normal"/>
    <w:rsid w:val="004E4F94"/>
    <w:pPr>
      <w:tabs>
        <w:tab w:val="center" w:pos="4153"/>
        <w:tab w:val="right" w:pos="8306"/>
      </w:tabs>
    </w:pPr>
  </w:style>
  <w:style w:type="character" w:styleId="PageNumber">
    <w:name w:val="page number"/>
    <w:basedOn w:val="DefaultParagraphFont"/>
    <w:rsid w:val="004E4F94"/>
  </w:style>
  <w:style w:type="paragraph" w:styleId="CommentSubject">
    <w:name w:val="annotation subject"/>
    <w:basedOn w:val="CommentText"/>
    <w:next w:val="CommentText"/>
    <w:link w:val="CommentSubjectChar"/>
    <w:rsid w:val="00DD046B"/>
    <w:rPr>
      <w:b/>
      <w:bCs/>
    </w:rPr>
  </w:style>
  <w:style w:type="character" w:customStyle="1" w:styleId="CommentTextChar">
    <w:name w:val="Comment Text Char"/>
    <w:basedOn w:val="DefaultParagraphFont"/>
    <w:link w:val="CommentText"/>
    <w:semiHidden/>
    <w:rsid w:val="00DD046B"/>
  </w:style>
  <w:style w:type="character" w:customStyle="1" w:styleId="CommentSubjectChar">
    <w:name w:val="Comment Subject Char"/>
    <w:basedOn w:val="CommentTextChar"/>
    <w:link w:val="CommentSubject"/>
    <w:rsid w:val="00DD046B"/>
  </w:style>
  <w:style w:type="paragraph" w:styleId="Header">
    <w:name w:val="header"/>
    <w:basedOn w:val="Normal"/>
    <w:rsid w:val="0048050D"/>
    <w:pPr>
      <w:tabs>
        <w:tab w:val="center" w:pos="4153"/>
        <w:tab w:val="right" w:pos="8306"/>
      </w:tabs>
    </w:pPr>
  </w:style>
  <w:style w:type="table" w:styleId="TableColumns1">
    <w:name w:val="Table Columns 1"/>
    <w:basedOn w:val="TableNormal"/>
    <w:rsid w:val="00232C0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32C0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32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F11C8"/>
    <w:rPr>
      <w:color w:val="0000FF"/>
      <w:u w:val="single"/>
    </w:rPr>
  </w:style>
  <w:style w:type="paragraph" w:styleId="Revision">
    <w:name w:val="Revision"/>
    <w:hidden/>
    <w:uiPriority w:val="99"/>
    <w:semiHidden/>
    <w:rsid w:val="00960909"/>
    <w:rPr>
      <w:sz w:val="24"/>
      <w:szCs w:val="24"/>
      <w:lang w:val="en-GB" w:eastAsia="en-GB"/>
    </w:rPr>
  </w:style>
  <w:style w:type="character" w:styleId="FollowedHyperlink">
    <w:name w:val="FollowedHyperlink"/>
    <w:rsid w:val="009446CA"/>
    <w:rPr>
      <w:color w:val="800080"/>
      <w:u w:val="single"/>
    </w:rPr>
  </w:style>
  <w:style w:type="paragraph" w:styleId="NormalWeb">
    <w:name w:val="Normal (Web)"/>
    <w:basedOn w:val="Normal"/>
    <w:rsid w:val="00630869"/>
  </w:style>
  <w:style w:type="paragraph" w:styleId="ListParagraph">
    <w:name w:val="List Paragraph"/>
    <w:basedOn w:val="Normal"/>
    <w:uiPriority w:val="34"/>
    <w:qFormat/>
    <w:rsid w:val="0017212B"/>
    <w:pPr>
      <w:ind w:left="720"/>
      <w:contextualSpacing/>
    </w:pPr>
  </w:style>
  <w:style w:type="character" w:styleId="UnresolvedMention">
    <w:name w:val="Unresolved Mention"/>
    <w:basedOn w:val="DefaultParagraphFont"/>
    <w:uiPriority w:val="99"/>
    <w:semiHidden/>
    <w:unhideWhenUsed/>
    <w:rsid w:val="00BF4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1418">
      <w:bodyDiv w:val="1"/>
      <w:marLeft w:val="0"/>
      <w:marRight w:val="0"/>
      <w:marTop w:val="0"/>
      <w:marBottom w:val="0"/>
      <w:divBdr>
        <w:top w:val="none" w:sz="0" w:space="0" w:color="auto"/>
        <w:left w:val="none" w:sz="0" w:space="0" w:color="auto"/>
        <w:bottom w:val="none" w:sz="0" w:space="0" w:color="auto"/>
        <w:right w:val="none" w:sz="0" w:space="0" w:color="auto"/>
      </w:divBdr>
    </w:div>
    <w:div w:id="12341563">
      <w:bodyDiv w:val="1"/>
      <w:marLeft w:val="0"/>
      <w:marRight w:val="0"/>
      <w:marTop w:val="0"/>
      <w:marBottom w:val="0"/>
      <w:divBdr>
        <w:top w:val="none" w:sz="0" w:space="0" w:color="auto"/>
        <w:left w:val="none" w:sz="0" w:space="0" w:color="auto"/>
        <w:bottom w:val="none" w:sz="0" w:space="0" w:color="auto"/>
        <w:right w:val="none" w:sz="0" w:space="0" w:color="auto"/>
      </w:divBdr>
    </w:div>
    <w:div w:id="20324147">
      <w:bodyDiv w:val="1"/>
      <w:marLeft w:val="0"/>
      <w:marRight w:val="0"/>
      <w:marTop w:val="0"/>
      <w:marBottom w:val="0"/>
      <w:divBdr>
        <w:top w:val="none" w:sz="0" w:space="0" w:color="auto"/>
        <w:left w:val="none" w:sz="0" w:space="0" w:color="auto"/>
        <w:bottom w:val="none" w:sz="0" w:space="0" w:color="auto"/>
        <w:right w:val="none" w:sz="0" w:space="0" w:color="auto"/>
      </w:divBdr>
    </w:div>
    <w:div w:id="20859884">
      <w:bodyDiv w:val="1"/>
      <w:marLeft w:val="0"/>
      <w:marRight w:val="0"/>
      <w:marTop w:val="0"/>
      <w:marBottom w:val="0"/>
      <w:divBdr>
        <w:top w:val="none" w:sz="0" w:space="0" w:color="auto"/>
        <w:left w:val="none" w:sz="0" w:space="0" w:color="auto"/>
        <w:bottom w:val="none" w:sz="0" w:space="0" w:color="auto"/>
        <w:right w:val="none" w:sz="0" w:space="0" w:color="auto"/>
      </w:divBdr>
    </w:div>
    <w:div w:id="46465383">
      <w:bodyDiv w:val="1"/>
      <w:marLeft w:val="0"/>
      <w:marRight w:val="0"/>
      <w:marTop w:val="0"/>
      <w:marBottom w:val="0"/>
      <w:divBdr>
        <w:top w:val="none" w:sz="0" w:space="0" w:color="auto"/>
        <w:left w:val="none" w:sz="0" w:space="0" w:color="auto"/>
        <w:bottom w:val="none" w:sz="0" w:space="0" w:color="auto"/>
        <w:right w:val="none" w:sz="0" w:space="0" w:color="auto"/>
      </w:divBdr>
    </w:div>
    <w:div w:id="79179186">
      <w:bodyDiv w:val="1"/>
      <w:marLeft w:val="0"/>
      <w:marRight w:val="0"/>
      <w:marTop w:val="0"/>
      <w:marBottom w:val="0"/>
      <w:divBdr>
        <w:top w:val="none" w:sz="0" w:space="0" w:color="auto"/>
        <w:left w:val="none" w:sz="0" w:space="0" w:color="auto"/>
        <w:bottom w:val="none" w:sz="0" w:space="0" w:color="auto"/>
        <w:right w:val="none" w:sz="0" w:space="0" w:color="auto"/>
      </w:divBdr>
    </w:div>
    <w:div w:id="134220568">
      <w:bodyDiv w:val="1"/>
      <w:marLeft w:val="0"/>
      <w:marRight w:val="0"/>
      <w:marTop w:val="0"/>
      <w:marBottom w:val="0"/>
      <w:divBdr>
        <w:top w:val="none" w:sz="0" w:space="0" w:color="auto"/>
        <w:left w:val="none" w:sz="0" w:space="0" w:color="auto"/>
        <w:bottom w:val="none" w:sz="0" w:space="0" w:color="auto"/>
        <w:right w:val="none" w:sz="0" w:space="0" w:color="auto"/>
      </w:divBdr>
    </w:div>
    <w:div w:id="145706921">
      <w:bodyDiv w:val="1"/>
      <w:marLeft w:val="0"/>
      <w:marRight w:val="0"/>
      <w:marTop w:val="0"/>
      <w:marBottom w:val="0"/>
      <w:divBdr>
        <w:top w:val="none" w:sz="0" w:space="0" w:color="auto"/>
        <w:left w:val="none" w:sz="0" w:space="0" w:color="auto"/>
        <w:bottom w:val="none" w:sz="0" w:space="0" w:color="auto"/>
        <w:right w:val="none" w:sz="0" w:space="0" w:color="auto"/>
      </w:divBdr>
    </w:div>
    <w:div w:id="155920309">
      <w:bodyDiv w:val="1"/>
      <w:marLeft w:val="0"/>
      <w:marRight w:val="0"/>
      <w:marTop w:val="0"/>
      <w:marBottom w:val="0"/>
      <w:divBdr>
        <w:top w:val="none" w:sz="0" w:space="0" w:color="auto"/>
        <w:left w:val="none" w:sz="0" w:space="0" w:color="auto"/>
        <w:bottom w:val="none" w:sz="0" w:space="0" w:color="auto"/>
        <w:right w:val="none" w:sz="0" w:space="0" w:color="auto"/>
      </w:divBdr>
    </w:div>
    <w:div w:id="175315811">
      <w:bodyDiv w:val="1"/>
      <w:marLeft w:val="0"/>
      <w:marRight w:val="0"/>
      <w:marTop w:val="0"/>
      <w:marBottom w:val="0"/>
      <w:divBdr>
        <w:top w:val="none" w:sz="0" w:space="0" w:color="auto"/>
        <w:left w:val="none" w:sz="0" w:space="0" w:color="auto"/>
        <w:bottom w:val="none" w:sz="0" w:space="0" w:color="auto"/>
        <w:right w:val="none" w:sz="0" w:space="0" w:color="auto"/>
      </w:divBdr>
    </w:div>
    <w:div w:id="205411568">
      <w:bodyDiv w:val="1"/>
      <w:marLeft w:val="0"/>
      <w:marRight w:val="0"/>
      <w:marTop w:val="0"/>
      <w:marBottom w:val="0"/>
      <w:divBdr>
        <w:top w:val="none" w:sz="0" w:space="0" w:color="auto"/>
        <w:left w:val="none" w:sz="0" w:space="0" w:color="auto"/>
        <w:bottom w:val="none" w:sz="0" w:space="0" w:color="auto"/>
        <w:right w:val="none" w:sz="0" w:space="0" w:color="auto"/>
      </w:divBdr>
    </w:div>
    <w:div w:id="261646217">
      <w:bodyDiv w:val="1"/>
      <w:marLeft w:val="60"/>
      <w:marRight w:val="60"/>
      <w:marTop w:val="60"/>
      <w:marBottom w:val="15"/>
      <w:divBdr>
        <w:top w:val="none" w:sz="0" w:space="0" w:color="auto"/>
        <w:left w:val="none" w:sz="0" w:space="0" w:color="auto"/>
        <w:bottom w:val="none" w:sz="0" w:space="0" w:color="auto"/>
        <w:right w:val="none" w:sz="0" w:space="0" w:color="auto"/>
      </w:divBdr>
      <w:divsChild>
        <w:div w:id="1573001448">
          <w:marLeft w:val="0"/>
          <w:marRight w:val="0"/>
          <w:marTop w:val="0"/>
          <w:marBottom w:val="0"/>
          <w:divBdr>
            <w:top w:val="none" w:sz="0" w:space="0" w:color="auto"/>
            <w:left w:val="none" w:sz="0" w:space="0" w:color="auto"/>
            <w:bottom w:val="none" w:sz="0" w:space="0" w:color="auto"/>
            <w:right w:val="none" w:sz="0" w:space="0" w:color="auto"/>
          </w:divBdr>
        </w:div>
      </w:divsChild>
    </w:div>
    <w:div w:id="276986336">
      <w:bodyDiv w:val="1"/>
      <w:marLeft w:val="0"/>
      <w:marRight w:val="0"/>
      <w:marTop w:val="0"/>
      <w:marBottom w:val="0"/>
      <w:divBdr>
        <w:top w:val="none" w:sz="0" w:space="0" w:color="auto"/>
        <w:left w:val="none" w:sz="0" w:space="0" w:color="auto"/>
        <w:bottom w:val="none" w:sz="0" w:space="0" w:color="auto"/>
        <w:right w:val="none" w:sz="0" w:space="0" w:color="auto"/>
      </w:divBdr>
    </w:div>
    <w:div w:id="308561043">
      <w:bodyDiv w:val="1"/>
      <w:marLeft w:val="0"/>
      <w:marRight w:val="0"/>
      <w:marTop w:val="0"/>
      <w:marBottom w:val="0"/>
      <w:divBdr>
        <w:top w:val="none" w:sz="0" w:space="0" w:color="auto"/>
        <w:left w:val="none" w:sz="0" w:space="0" w:color="auto"/>
        <w:bottom w:val="none" w:sz="0" w:space="0" w:color="auto"/>
        <w:right w:val="none" w:sz="0" w:space="0" w:color="auto"/>
      </w:divBdr>
    </w:div>
    <w:div w:id="373694981">
      <w:bodyDiv w:val="1"/>
      <w:marLeft w:val="0"/>
      <w:marRight w:val="0"/>
      <w:marTop w:val="0"/>
      <w:marBottom w:val="0"/>
      <w:divBdr>
        <w:top w:val="none" w:sz="0" w:space="0" w:color="auto"/>
        <w:left w:val="none" w:sz="0" w:space="0" w:color="auto"/>
        <w:bottom w:val="none" w:sz="0" w:space="0" w:color="auto"/>
        <w:right w:val="none" w:sz="0" w:space="0" w:color="auto"/>
      </w:divBdr>
    </w:div>
    <w:div w:id="390428432">
      <w:bodyDiv w:val="1"/>
      <w:marLeft w:val="0"/>
      <w:marRight w:val="0"/>
      <w:marTop w:val="0"/>
      <w:marBottom w:val="0"/>
      <w:divBdr>
        <w:top w:val="none" w:sz="0" w:space="0" w:color="auto"/>
        <w:left w:val="none" w:sz="0" w:space="0" w:color="auto"/>
        <w:bottom w:val="none" w:sz="0" w:space="0" w:color="auto"/>
        <w:right w:val="none" w:sz="0" w:space="0" w:color="auto"/>
      </w:divBdr>
    </w:div>
    <w:div w:id="405735307">
      <w:bodyDiv w:val="1"/>
      <w:marLeft w:val="0"/>
      <w:marRight w:val="0"/>
      <w:marTop w:val="0"/>
      <w:marBottom w:val="0"/>
      <w:divBdr>
        <w:top w:val="none" w:sz="0" w:space="0" w:color="auto"/>
        <w:left w:val="none" w:sz="0" w:space="0" w:color="auto"/>
        <w:bottom w:val="none" w:sz="0" w:space="0" w:color="auto"/>
        <w:right w:val="none" w:sz="0" w:space="0" w:color="auto"/>
      </w:divBdr>
    </w:div>
    <w:div w:id="461001224">
      <w:bodyDiv w:val="1"/>
      <w:marLeft w:val="0"/>
      <w:marRight w:val="0"/>
      <w:marTop w:val="0"/>
      <w:marBottom w:val="0"/>
      <w:divBdr>
        <w:top w:val="none" w:sz="0" w:space="0" w:color="auto"/>
        <w:left w:val="none" w:sz="0" w:space="0" w:color="auto"/>
        <w:bottom w:val="none" w:sz="0" w:space="0" w:color="auto"/>
        <w:right w:val="none" w:sz="0" w:space="0" w:color="auto"/>
      </w:divBdr>
    </w:div>
    <w:div w:id="488063105">
      <w:bodyDiv w:val="1"/>
      <w:marLeft w:val="0"/>
      <w:marRight w:val="0"/>
      <w:marTop w:val="0"/>
      <w:marBottom w:val="0"/>
      <w:divBdr>
        <w:top w:val="none" w:sz="0" w:space="0" w:color="auto"/>
        <w:left w:val="none" w:sz="0" w:space="0" w:color="auto"/>
        <w:bottom w:val="none" w:sz="0" w:space="0" w:color="auto"/>
        <w:right w:val="none" w:sz="0" w:space="0" w:color="auto"/>
      </w:divBdr>
    </w:div>
    <w:div w:id="529031193">
      <w:bodyDiv w:val="1"/>
      <w:marLeft w:val="0"/>
      <w:marRight w:val="0"/>
      <w:marTop w:val="0"/>
      <w:marBottom w:val="0"/>
      <w:divBdr>
        <w:top w:val="none" w:sz="0" w:space="0" w:color="auto"/>
        <w:left w:val="none" w:sz="0" w:space="0" w:color="auto"/>
        <w:bottom w:val="none" w:sz="0" w:space="0" w:color="auto"/>
        <w:right w:val="none" w:sz="0" w:space="0" w:color="auto"/>
      </w:divBdr>
    </w:div>
    <w:div w:id="548810118">
      <w:bodyDiv w:val="1"/>
      <w:marLeft w:val="0"/>
      <w:marRight w:val="0"/>
      <w:marTop w:val="0"/>
      <w:marBottom w:val="0"/>
      <w:divBdr>
        <w:top w:val="none" w:sz="0" w:space="0" w:color="auto"/>
        <w:left w:val="none" w:sz="0" w:space="0" w:color="auto"/>
        <w:bottom w:val="none" w:sz="0" w:space="0" w:color="auto"/>
        <w:right w:val="none" w:sz="0" w:space="0" w:color="auto"/>
      </w:divBdr>
    </w:div>
    <w:div w:id="556624813">
      <w:bodyDiv w:val="1"/>
      <w:marLeft w:val="0"/>
      <w:marRight w:val="0"/>
      <w:marTop w:val="0"/>
      <w:marBottom w:val="0"/>
      <w:divBdr>
        <w:top w:val="none" w:sz="0" w:space="0" w:color="auto"/>
        <w:left w:val="none" w:sz="0" w:space="0" w:color="auto"/>
        <w:bottom w:val="none" w:sz="0" w:space="0" w:color="auto"/>
        <w:right w:val="none" w:sz="0" w:space="0" w:color="auto"/>
      </w:divBdr>
    </w:div>
    <w:div w:id="596326186">
      <w:bodyDiv w:val="1"/>
      <w:marLeft w:val="0"/>
      <w:marRight w:val="0"/>
      <w:marTop w:val="0"/>
      <w:marBottom w:val="0"/>
      <w:divBdr>
        <w:top w:val="none" w:sz="0" w:space="0" w:color="auto"/>
        <w:left w:val="none" w:sz="0" w:space="0" w:color="auto"/>
        <w:bottom w:val="none" w:sz="0" w:space="0" w:color="auto"/>
        <w:right w:val="none" w:sz="0" w:space="0" w:color="auto"/>
      </w:divBdr>
    </w:div>
    <w:div w:id="768357422">
      <w:bodyDiv w:val="1"/>
      <w:marLeft w:val="0"/>
      <w:marRight w:val="0"/>
      <w:marTop w:val="0"/>
      <w:marBottom w:val="0"/>
      <w:divBdr>
        <w:top w:val="none" w:sz="0" w:space="0" w:color="auto"/>
        <w:left w:val="none" w:sz="0" w:space="0" w:color="auto"/>
        <w:bottom w:val="none" w:sz="0" w:space="0" w:color="auto"/>
        <w:right w:val="none" w:sz="0" w:space="0" w:color="auto"/>
      </w:divBdr>
    </w:div>
    <w:div w:id="791559631">
      <w:bodyDiv w:val="1"/>
      <w:marLeft w:val="0"/>
      <w:marRight w:val="0"/>
      <w:marTop w:val="0"/>
      <w:marBottom w:val="0"/>
      <w:divBdr>
        <w:top w:val="none" w:sz="0" w:space="0" w:color="auto"/>
        <w:left w:val="none" w:sz="0" w:space="0" w:color="auto"/>
        <w:bottom w:val="none" w:sz="0" w:space="0" w:color="auto"/>
        <w:right w:val="none" w:sz="0" w:space="0" w:color="auto"/>
      </w:divBdr>
    </w:div>
    <w:div w:id="792752285">
      <w:bodyDiv w:val="1"/>
      <w:marLeft w:val="0"/>
      <w:marRight w:val="0"/>
      <w:marTop w:val="0"/>
      <w:marBottom w:val="0"/>
      <w:divBdr>
        <w:top w:val="none" w:sz="0" w:space="0" w:color="auto"/>
        <w:left w:val="none" w:sz="0" w:space="0" w:color="auto"/>
        <w:bottom w:val="none" w:sz="0" w:space="0" w:color="auto"/>
        <w:right w:val="none" w:sz="0" w:space="0" w:color="auto"/>
      </w:divBdr>
    </w:div>
    <w:div w:id="797189724">
      <w:bodyDiv w:val="1"/>
      <w:marLeft w:val="0"/>
      <w:marRight w:val="0"/>
      <w:marTop w:val="0"/>
      <w:marBottom w:val="0"/>
      <w:divBdr>
        <w:top w:val="none" w:sz="0" w:space="0" w:color="auto"/>
        <w:left w:val="none" w:sz="0" w:space="0" w:color="auto"/>
        <w:bottom w:val="none" w:sz="0" w:space="0" w:color="auto"/>
        <w:right w:val="none" w:sz="0" w:space="0" w:color="auto"/>
      </w:divBdr>
    </w:div>
    <w:div w:id="797719798">
      <w:bodyDiv w:val="1"/>
      <w:marLeft w:val="0"/>
      <w:marRight w:val="0"/>
      <w:marTop w:val="0"/>
      <w:marBottom w:val="0"/>
      <w:divBdr>
        <w:top w:val="none" w:sz="0" w:space="0" w:color="auto"/>
        <w:left w:val="none" w:sz="0" w:space="0" w:color="auto"/>
        <w:bottom w:val="none" w:sz="0" w:space="0" w:color="auto"/>
        <w:right w:val="none" w:sz="0" w:space="0" w:color="auto"/>
      </w:divBdr>
    </w:div>
    <w:div w:id="846867524">
      <w:bodyDiv w:val="1"/>
      <w:marLeft w:val="0"/>
      <w:marRight w:val="0"/>
      <w:marTop w:val="0"/>
      <w:marBottom w:val="0"/>
      <w:divBdr>
        <w:top w:val="none" w:sz="0" w:space="0" w:color="auto"/>
        <w:left w:val="none" w:sz="0" w:space="0" w:color="auto"/>
        <w:bottom w:val="none" w:sz="0" w:space="0" w:color="auto"/>
        <w:right w:val="none" w:sz="0" w:space="0" w:color="auto"/>
      </w:divBdr>
    </w:div>
    <w:div w:id="1080327760">
      <w:bodyDiv w:val="1"/>
      <w:marLeft w:val="0"/>
      <w:marRight w:val="0"/>
      <w:marTop w:val="0"/>
      <w:marBottom w:val="0"/>
      <w:divBdr>
        <w:top w:val="none" w:sz="0" w:space="0" w:color="auto"/>
        <w:left w:val="none" w:sz="0" w:space="0" w:color="auto"/>
        <w:bottom w:val="none" w:sz="0" w:space="0" w:color="auto"/>
        <w:right w:val="none" w:sz="0" w:space="0" w:color="auto"/>
      </w:divBdr>
    </w:div>
    <w:div w:id="1090736626">
      <w:bodyDiv w:val="1"/>
      <w:marLeft w:val="0"/>
      <w:marRight w:val="0"/>
      <w:marTop w:val="0"/>
      <w:marBottom w:val="0"/>
      <w:divBdr>
        <w:top w:val="none" w:sz="0" w:space="0" w:color="auto"/>
        <w:left w:val="none" w:sz="0" w:space="0" w:color="auto"/>
        <w:bottom w:val="none" w:sz="0" w:space="0" w:color="auto"/>
        <w:right w:val="none" w:sz="0" w:space="0" w:color="auto"/>
      </w:divBdr>
      <w:divsChild>
        <w:div w:id="199363083">
          <w:marLeft w:val="0"/>
          <w:marRight w:val="0"/>
          <w:marTop w:val="0"/>
          <w:marBottom w:val="0"/>
          <w:divBdr>
            <w:top w:val="none" w:sz="0" w:space="0" w:color="auto"/>
            <w:left w:val="none" w:sz="0" w:space="0" w:color="auto"/>
            <w:bottom w:val="none" w:sz="0" w:space="0" w:color="auto"/>
            <w:right w:val="none" w:sz="0" w:space="0" w:color="auto"/>
          </w:divBdr>
        </w:div>
        <w:div w:id="233316600">
          <w:marLeft w:val="0"/>
          <w:marRight w:val="0"/>
          <w:marTop w:val="0"/>
          <w:marBottom w:val="0"/>
          <w:divBdr>
            <w:top w:val="none" w:sz="0" w:space="0" w:color="auto"/>
            <w:left w:val="none" w:sz="0" w:space="0" w:color="auto"/>
            <w:bottom w:val="none" w:sz="0" w:space="0" w:color="auto"/>
            <w:right w:val="none" w:sz="0" w:space="0" w:color="auto"/>
          </w:divBdr>
        </w:div>
        <w:div w:id="278950742">
          <w:marLeft w:val="0"/>
          <w:marRight w:val="0"/>
          <w:marTop w:val="0"/>
          <w:marBottom w:val="0"/>
          <w:divBdr>
            <w:top w:val="none" w:sz="0" w:space="0" w:color="auto"/>
            <w:left w:val="none" w:sz="0" w:space="0" w:color="auto"/>
            <w:bottom w:val="none" w:sz="0" w:space="0" w:color="auto"/>
            <w:right w:val="none" w:sz="0" w:space="0" w:color="auto"/>
          </w:divBdr>
        </w:div>
        <w:div w:id="281764377">
          <w:marLeft w:val="0"/>
          <w:marRight w:val="0"/>
          <w:marTop w:val="0"/>
          <w:marBottom w:val="0"/>
          <w:divBdr>
            <w:top w:val="none" w:sz="0" w:space="0" w:color="auto"/>
            <w:left w:val="none" w:sz="0" w:space="0" w:color="auto"/>
            <w:bottom w:val="none" w:sz="0" w:space="0" w:color="auto"/>
            <w:right w:val="none" w:sz="0" w:space="0" w:color="auto"/>
          </w:divBdr>
        </w:div>
        <w:div w:id="424616267">
          <w:marLeft w:val="0"/>
          <w:marRight w:val="0"/>
          <w:marTop w:val="0"/>
          <w:marBottom w:val="0"/>
          <w:divBdr>
            <w:top w:val="none" w:sz="0" w:space="0" w:color="auto"/>
            <w:left w:val="none" w:sz="0" w:space="0" w:color="auto"/>
            <w:bottom w:val="none" w:sz="0" w:space="0" w:color="auto"/>
            <w:right w:val="none" w:sz="0" w:space="0" w:color="auto"/>
          </w:divBdr>
        </w:div>
        <w:div w:id="468859999">
          <w:marLeft w:val="0"/>
          <w:marRight w:val="0"/>
          <w:marTop w:val="0"/>
          <w:marBottom w:val="0"/>
          <w:divBdr>
            <w:top w:val="none" w:sz="0" w:space="0" w:color="auto"/>
            <w:left w:val="none" w:sz="0" w:space="0" w:color="auto"/>
            <w:bottom w:val="none" w:sz="0" w:space="0" w:color="auto"/>
            <w:right w:val="none" w:sz="0" w:space="0" w:color="auto"/>
          </w:divBdr>
        </w:div>
        <w:div w:id="620575001">
          <w:marLeft w:val="0"/>
          <w:marRight w:val="0"/>
          <w:marTop w:val="0"/>
          <w:marBottom w:val="0"/>
          <w:divBdr>
            <w:top w:val="none" w:sz="0" w:space="0" w:color="auto"/>
            <w:left w:val="none" w:sz="0" w:space="0" w:color="auto"/>
            <w:bottom w:val="none" w:sz="0" w:space="0" w:color="auto"/>
            <w:right w:val="none" w:sz="0" w:space="0" w:color="auto"/>
          </w:divBdr>
        </w:div>
        <w:div w:id="643782152">
          <w:marLeft w:val="0"/>
          <w:marRight w:val="0"/>
          <w:marTop w:val="0"/>
          <w:marBottom w:val="0"/>
          <w:divBdr>
            <w:top w:val="none" w:sz="0" w:space="0" w:color="auto"/>
            <w:left w:val="none" w:sz="0" w:space="0" w:color="auto"/>
            <w:bottom w:val="none" w:sz="0" w:space="0" w:color="auto"/>
            <w:right w:val="none" w:sz="0" w:space="0" w:color="auto"/>
          </w:divBdr>
        </w:div>
        <w:div w:id="744911221">
          <w:marLeft w:val="0"/>
          <w:marRight w:val="0"/>
          <w:marTop w:val="0"/>
          <w:marBottom w:val="0"/>
          <w:divBdr>
            <w:top w:val="none" w:sz="0" w:space="0" w:color="auto"/>
            <w:left w:val="none" w:sz="0" w:space="0" w:color="auto"/>
            <w:bottom w:val="none" w:sz="0" w:space="0" w:color="auto"/>
            <w:right w:val="none" w:sz="0" w:space="0" w:color="auto"/>
          </w:divBdr>
        </w:div>
        <w:div w:id="905804175">
          <w:marLeft w:val="0"/>
          <w:marRight w:val="0"/>
          <w:marTop w:val="0"/>
          <w:marBottom w:val="0"/>
          <w:divBdr>
            <w:top w:val="none" w:sz="0" w:space="0" w:color="auto"/>
            <w:left w:val="none" w:sz="0" w:space="0" w:color="auto"/>
            <w:bottom w:val="none" w:sz="0" w:space="0" w:color="auto"/>
            <w:right w:val="none" w:sz="0" w:space="0" w:color="auto"/>
          </w:divBdr>
        </w:div>
        <w:div w:id="1012414829">
          <w:marLeft w:val="0"/>
          <w:marRight w:val="0"/>
          <w:marTop w:val="0"/>
          <w:marBottom w:val="0"/>
          <w:divBdr>
            <w:top w:val="none" w:sz="0" w:space="0" w:color="auto"/>
            <w:left w:val="none" w:sz="0" w:space="0" w:color="auto"/>
            <w:bottom w:val="none" w:sz="0" w:space="0" w:color="auto"/>
            <w:right w:val="none" w:sz="0" w:space="0" w:color="auto"/>
          </w:divBdr>
        </w:div>
        <w:div w:id="1065496615">
          <w:marLeft w:val="0"/>
          <w:marRight w:val="0"/>
          <w:marTop w:val="0"/>
          <w:marBottom w:val="0"/>
          <w:divBdr>
            <w:top w:val="none" w:sz="0" w:space="0" w:color="auto"/>
            <w:left w:val="none" w:sz="0" w:space="0" w:color="auto"/>
            <w:bottom w:val="none" w:sz="0" w:space="0" w:color="auto"/>
            <w:right w:val="none" w:sz="0" w:space="0" w:color="auto"/>
          </w:divBdr>
        </w:div>
        <w:div w:id="1070082368">
          <w:marLeft w:val="0"/>
          <w:marRight w:val="0"/>
          <w:marTop w:val="0"/>
          <w:marBottom w:val="0"/>
          <w:divBdr>
            <w:top w:val="none" w:sz="0" w:space="0" w:color="auto"/>
            <w:left w:val="none" w:sz="0" w:space="0" w:color="auto"/>
            <w:bottom w:val="none" w:sz="0" w:space="0" w:color="auto"/>
            <w:right w:val="none" w:sz="0" w:space="0" w:color="auto"/>
          </w:divBdr>
        </w:div>
        <w:div w:id="1164198112">
          <w:marLeft w:val="0"/>
          <w:marRight w:val="0"/>
          <w:marTop w:val="0"/>
          <w:marBottom w:val="0"/>
          <w:divBdr>
            <w:top w:val="none" w:sz="0" w:space="0" w:color="auto"/>
            <w:left w:val="none" w:sz="0" w:space="0" w:color="auto"/>
            <w:bottom w:val="none" w:sz="0" w:space="0" w:color="auto"/>
            <w:right w:val="none" w:sz="0" w:space="0" w:color="auto"/>
          </w:divBdr>
        </w:div>
        <w:div w:id="1227567495">
          <w:marLeft w:val="0"/>
          <w:marRight w:val="0"/>
          <w:marTop w:val="0"/>
          <w:marBottom w:val="0"/>
          <w:divBdr>
            <w:top w:val="none" w:sz="0" w:space="0" w:color="auto"/>
            <w:left w:val="none" w:sz="0" w:space="0" w:color="auto"/>
            <w:bottom w:val="none" w:sz="0" w:space="0" w:color="auto"/>
            <w:right w:val="none" w:sz="0" w:space="0" w:color="auto"/>
          </w:divBdr>
        </w:div>
        <w:div w:id="1384980887">
          <w:marLeft w:val="0"/>
          <w:marRight w:val="0"/>
          <w:marTop w:val="0"/>
          <w:marBottom w:val="0"/>
          <w:divBdr>
            <w:top w:val="none" w:sz="0" w:space="0" w:color="auto"/>
            <w:left w:val="none" w:sz="0" w:space="0" w:color="auto"/>
            <w:bottom w:val="none" w:sz="0" w:space="0" w:color="auto"/>
            <w:right w:val="none" w:sz="0" w:space="0" w:color="auto"/>
          </w:divBdr>
        </w:div>
        <w:div w:id="1437486566">
          <w:marLeft w:val="0"/>
          <w:marRight w:val="0"/>
          <w:marTop w:val="0"/>
          <w:marBottom w:val="0"/>
          <w:divBdr>
            <w:top w:val="none" w:sz="0" w:space="0" w:color="auto"/>
            <w:left w:val="none" w:sz="0" w:space="0" w:color="auto"/>
            <w:bottom w:val="none" w:sz="0" w:space="0" w:color="auto"/>
            <w:right w:val="none" w:sz="0" w:space="0" w:color="auto"/>
          </w:divBdr>
        </w:div>
        <w:div w:id="1559627134">
          <w:marLeft w:val="0"/>
          <w:marRight w:val="0"/>
          <w:marTop w:val="0"/>
          <w:marBottom w:val="0"/>
          <w:divBdr>
            <w:top w:val="none" w:sz="0" w:space="0" w:color="auto"/>
            <w:left w:val="none" w:sz="0" w:space="0" w:color="auto"/>
            <w:bottom w:val="none" w:sz="0" w:space="0" w:color="auto"/>
            <w:right w:val="none" w:sz="0" w:space="0" w:color="auto"/>
          </w:divBdr>
        </w:div>
        <w:div w:id="1588804343">
          <w:marLeft w:val="0"/>
          <w:marRight w:val="0"/>
          <w:marTop w:val="0"/>
          <w:marBottom w:val="0"/>
          <w:divBdr>
            <w:top w:val="none" w:sz="0" w:space="0" w:color="auto"/>
            <w:left w:val="none" w:sz="0" w:space="0" w:color="auto"/>
            <w:bottom w:val="none" w:sz="0" w:space="0" w:color="auto"/>
            <w:right w:val="none" w:sz="0" w:space="0" w:color="auto"/>
          </w:divBdr>
        </w:div>
        <w:div w:id="1856728266">
          <w:marLeft w:val="0"/>
          <w:marRight w:val="0"/>
          <w:marTop w:val="0"/>
          <w:marBottom w:val="0"/>
          <w:divBdr>
            <w:top w:val="none" w:sz="0" w:space="0" w:color="auto"/>
            <w:left w:val="none" w:sz="0" w:space="0" w:color="auto"/>
            <w:bottom w:val="none" w:sz="0" w:space="0" w:color="auto"/>
            <w:right w:val="none" w:sz="0" w:space="0" w:color="auto"/>
          </w:divBdr>
        </w:div>
        <w:div w:id="2071536878">
          <w:marLeft w:val="0"/>
          <w:marRight w:val="0"/>
          <w:marTop w:val="0"/>
          <w:marBottom w:val="0"/>
          <w:divBdr>
            <w:top w:val="none" w:sz="0" w:space="0" w:color="auto"/>
            <w:left w:val="none" w:sz="0" w:space="0" w:color="auto"/>
            <w:bottom w:val="none" w:sz="0" w:space="0" w:color="auto"/>
            <w:right w:val="none" w:sz="0" w:space="0" w:color="auto"/>
          </w:divBdr>
        </w:div>
      </w:divsChild>
    </w:div>
    <w:div w:id="1153067048">
      <w:bodyDiv w:val="1"/>
      <w:marLeft w:val="0"/>
      <w:marRight w:val="0"/>
      <w:marTop w:val="0"/>
      <w:marBottom w:val="0"/>
      <w:divBdr>
        <w:top w:val="none" w:sz="0" w:space="0" w:color="auto"/>
        <w:left w:val="none" w:sz="0" w:space="0" w:color="auto"/>
        <w:bottom w:val="none" w:sz="0" w:space="0" w:color="auto"/>
        <w:right w:val="none" w:sz="0" w:space="0" w:color="auto"/>
      </w:divBdr>
    </w:div>
    <w:div w:id="1154180477">
      <w:bodyDiv w:val="1"/>
      <w:marLeft w:val="0"/>
      <w:marRight w:val="0"/>
      <w:marTop w:val="0"/>
      <w:marBottom w:val="0"/>
      <w:divBdr>
        <w:top w:val="none" w:sz="0" w:space="0" w:color="auto"/>
        <w:left w:val="none" w:sz="0" w:space="0" w:color="auto"/>
        <w:bottom w:val="none" w:sz="0" w:space="0" w:color="auto"/>
        <w:right w:val="none" w:sz="0" w:space="0" w:color="auto"/>
      </w:divBdr>
    </w:div>
    <w:div w:id="1192499709">
      <w:bodyDiv w:val="1"/>
      <w:marLeft w:val="0"/>
      <w:marRight w:val="0"/>
      <w:marTop w:val="0"/>
      <w:marBottom w:val="0"/>
      <w:divBdr>
        <w:top w:val="none" w:sz="0" w:space="0" w:color="auto"/>
        <w:left w:val="none" w:sz="0" w:space="0" w:color="auto"/>
        <w:bottom w:val="none" w:sz="0" w:space="0" w:color="auto"/>
        <w:right w:val="none" w:sz="0" w:space="0" w:color="auto"/>
      </w:divBdr>
    </w:div>
    <w:div w:id="1195847010">
      <w:bodyDiv w:val="1"/>
      <w:marLeft w:val="0"/>
      <w:marRight w:val="0"/>
      <w:marTop w:val="0"/>
      <w:marBottom w:val="0"/>
      <w:divBdr>
        <w:top w:val="none" w:sz="0" w:space="0" w:color="auto"/>
        <w:left w:val="none" w:sz="0" w:space="0" w:color="auto"/>
        <w:bottom w:val="none" w:sz="0" w:space="0" w:color="auto"/>
        <w:right w:val="none" w:sz="0" w:space="0" w:color="auto"/>
      </w:divBdr>
    </w:div>
    <w:div w:id="1200557919">
      <w:bodyDiv w:val="1"/>
      <w:marLeft w:val="0"/>
      <w:marRight w:val="0"/>
      <w:marTop w:val="0"/>
      <w:marBottom w:val="0"/>
      <w:divBdr>
        <w:top w:val="none" w:sz="0" w:space="0" w:color="auto"/>
        <w:left w:val="none" w:sz="0" w:space="0" w:color="auto"/>
        <w:bottom w:val="none" w:sz="0" w:space="0" w:color="auto"/>
        <w:right w:val="none" w:sz="0" w:space="0" w:color="auto"/>
      </w:divBdr>
    </w:div>
    <w:div w:id="1207374272">
      <w:bodyDiv w:val="1"/>
      <w:marLeft w:val="0"/>
      <w:marRight w:val="0"/>
      <w:marTop w:val="0"/>
      <w:marBottom w:val="0"/>
      <w:divBdr>
        <w:top w:val="none" w:sz="0" w:space="0" w:color="auto"/>
        <w:left w:val="none" w:sz="0" w:space="0" w:color="auto"/>
        <w:bottom w:val="none" w:sz="0" w:space="0" w:color="auto"/>
        <w:right w:val="none" w:sz="0" w:space="0" w:color="auto"/>
      </w:divBdr>
    </w:div>
    <w:div w:id="1254051243">
      <w:bodyDiv w:val="1"/>
      <w:marLeft w:val="0"/>
      <w:marRight w:val="0"/>
      <w:marTop w:val="0"/>
      <w:marBottom w:val="0"/>
      <w:divBdr>
        <w:top w:val="none" w:sz="0" w:space="0" w:color="auto"/>
        <w:left w:val="none" w:sz="0" w:space="0" w:color="auto"/>
        <w:bottom w:val="none" w:sz="0" w:space="0" w:color="auto"/>
        <w:right w:val="none" w:sz="0" w:space="0" w:color="auto"/>
      </w:divBdr>
    </w:div>
    <w:div w:id="1326935758">
      <w:bodyDiv w:val="1"/>
      <w:marLeft w:val="0"/>
      <w:marRight w:val="0"/>
      <w:marTop w:val="0"/>
      <w:marBottom w:val="0"/>
      <w:divBdr>
        <w:top w:val="none" w:sz="0" w:space="0" w:color="auto"/>
        <w:left w:val="none" w:sz="0" w:space="0" w:color="auto"/>
        <w:bottom w:val="none" w:sz="0" w:space="0" w:color="auto"/>
        <w:right w:val="none" w:sz="0" w:space="0" w:color="auto"/>
      </w:divBdr>
    </w:div>
    <w:div w:id="1406998636">
      <w:bodyDiv w:val="1"/>
      <w:marLeft w:val="0"/>
      <w:marRight w:val="0"/>
      <w:marTop w:val="0"/>
      <w:marBottom w:val="0"/>
      <w:divBdr>
        <w:top w:val="none" w:sz="0" w:space="0" w:color="auto"/>
        <w:left w:val="none" w:sz="0" w:space="0" w:color="auto"/>
        <w:bottom w:val="none" w:sz="0" w:space="0" w:color="auto"/>
        <w:right w:val="none" w:sz="0" w:space="0" w:color="auto"/>
      </w:divBdr>
    </w:div>
    <w:div w:id="1417239136">
      <w:bodyDiv w:val="1"/>
      <w:marLeft w:val="0"/>
      <w:marRight w:val="0"/>
      <w:marTop w:val="0"/>
      <w:marBottom w:val="0"/>
      <w:divBdr>
        <w:top w:val="none" w:sz="0" w:space="0" w:color="auto"/>
        <w:left w:val="none" w:sz="0" w:space="0" w:color="auto"/>
        <w:bottom w:val="none" w:sz="0" w:space="0" w:color="auto"/>
        <w:right w:val="none" w:sz="0" w:space="0" w:color="auto"/>
      </w:divBdr>
    </w:div>
    <w:div w:id="1420833812">
      <w:bodyDiv w:val="1"/>
      <w:marLeft w:val="0"/>
      <w:marRight w:val="0"/>
      <w:marTop w:val="0"/>
      <w:marBottom w:val="0"/>
      <w:divBdr>
        <w:top w:val="none" w:sz="0" w:space="0" w:color="auto"/>
        <w:left w:val="none" w:sz="0" w:space="0" w:color="auto"/>
        <w:bottom w:val="none" w:sz="0" w:space="0" w:color="auto"/>
        <w:right w:val="none" w:sz="0" w:space="0" w:color="auto"/>
      </w:divBdr>
    </w:div>
    <w:div w:id="1540557159">
      <w:bodyDiv w:val="1"/>
      <w:marLeft w:val="0"/>
      <w:marRight w:val="0"/>
      <w:marTop w:val="0"/>
      <w:marBottom w:val="0"/>
      <w:divBdr>
        <w:top w:val="none" w:sz="0" w:space="0" w:color="auto"/>
        <w:left w:val="none" w:sz="0" w:space="0" w:color="auto"/>
        <w:bottom w:val="none" w:sz="0" w:space="0" w:color="auto"/>
        <w:right w:val="none" w:sz="0" w:space="0" w:color="auto"/>
      </w:divBdr>
    </w:div>
    <w:div w:id="1636526591">
      <w:bodyDiv w:val="1"/>
      <w:marLeft w:val="0"/>
      <w:marRight w:val="0"/>
      <w:marTop w:val="0"/>
      <w:marBottom w:val="0"/>
      <w:divBdr>
        <w:top w:val="none" w:sz="0" w:space="0" w:color="auto"/>
        <w:left w:val="none" w:sz="0" w:space="0" w:color="auto"/>
        <w:bottom w:val="none" w:sz="0" w:space="0" w:color="auto"/>
        <w:right w:val="none" w:sz="0" w:space="0" w:color="auto"/>
      </w:divBdr>
    </w:div>
    <w:div w:id="1681925423">
      <w:bodyDiv w:val="1"/>
      <w:marLeft w:val="0"/>
      <w:marRight w:val="0"/>
      <w:marTop w:val="0"/>
      <w:marBottom w:val="0"/>
      <w:divBdr>
        <w:top w:val="none" w:sz="0" w:space="0" w:color="auto"/>
        <w:left w:val="none" w:sz="0" w:space="0" w:color="auto"/>
        <w:bottom w:val="none" w:sz="0" w:space="0" w:color="auto"/>
        <w:right w:val="none" w:sz="0" w:space="0" w:color="auto"/>
      </w:divBdr>
    </w:div>
    <w:div w:id="1741711274">
      <w:bodyDiv w:val="1"/>
      <w:marLeft w:val="0"/>
      <w:marRight w:val="0"/>
      <w:marTop w:val="0"/>
      <w:marBottom w:val="0"/>
      <w:divBdr>
        <w:top w:val="none" w:sz="0" w:space="0" w:color="auto"/>
        <w:left w:val="none" w:sz="0" w:space="0" w:color="auto"/>
        <w:bottom w:val="none" w:sz="0" w:space="0" w:color="auto"/>
        <w:right w:val="none" w:sz="0" w:space="0" w:color="auto"/>
      </w:divBdr>
    </w:div>
    <w:div w:id="1748265732">
      <w:bodyDiv w:val="1"/>
      <w:marLeft w:val="0"/>
      <w:marRight w:val="0"/>
      <w:marTop w:val="0"/>
      <w:marBottom w:val="0"/>
      <w:divBdr>
        <w:top w:val="none" w:sz="0" w:space="0" w:color="auto"/>
        <w:left w:val="none" w:sz="0" w:space="0" w:color="auto"/>
        <w:bottom w:val="none" w:sz="0" w:space="0" w:color="auto"/>
        <w:right w:val="none" w:sz="0" w:space="0" w:color="auto"/>
      </w:divBdr>
    </w:div>
    <w:div w:id="1827934728">
      <w:bodyDiv w:val="1"/>
      <w:marLeft w:val="0"/>
      <w:marRight w:val="0"/>
      <w:marTop w:val="0"/>
      <w:marBottom w:val="0"/>
      <w:divBdr>
        <w:top w:val="none" w:sz="0" w:space="0" w:color="auto"/>
        <w:left w:val="none" w:sz="0" w:space="0" w:color="auto"/>
        <w:bottom w:val="none" w:sz="0" w:space="0" w:color="auto"/>
        <w:right w:val="none" w:sz="0" w:space="0" w:color="auto"/>
      </w:divBdr>
    </w:div>
    <w:div w:id="1828472204">
      <w:bodyDiv w:val="1"/>
      <w:marLeft w:val="0"/>
      <w:marRight w:val="0"/>
      <w:marTop w:val="0"/>
      <w:marBottom w:val="0"/>
      <w:divBdr>
        <w:top w:val="none" w:sz="0" w:space="0" w:color="auto"/>
        <w:left w:val="none" w:sz="0" w:space="0" w:color="auto"/>
        <w:bottom w:val="none" w:sz="0" w:space="0" w:color="auto"/>
        <w:right w:val="none" w:sz="0" w:space="0" w:color="auto"/>
      </w:divBdr>
    </w:div>
    <w:div w:id="1981223208">
      <w:bodyDiv w:val="1"/>
      <w:marLeft w:val="0"/>
      <w:marRight w:val="0"/>
      <w:marTop w:val="0"/>
      <w:marBottom w:val="0"/>
      <w:divBdr>
        <w:top w:val="none" w:sz="0" w:space="0" w:color="auto"/>
        <w:left w:val="none" w:sz="0" w:space="0" w:color="auto"/>
        <w:bottom w:val="none" w:sz="0" w:space="0" w:color="auto"/>
        <w:right w:val="none" w:sz="0" w:space="0" w:color="auto"/>
      </w:divBdr>
      <w:divsChild>
        <w:div w:id="316570925">
          <w:marLeft w:val="0"/>
          <w:marRight w:val="0"/>
          <w:marTop w:val="0"/>
          <w:marBottom w:val="0"/>
          <w:divBdr>
            <w:top w:val="single" w:sz="2" w:space="0" w:color="787878"/>
            <w:left w:val="single" w:sz="2" w:space="0" w:color="787878"/>
            <w:bottom w:val="single" w:sz="2" w:space="31" w:color="787878"/>
            <w:right w:val="single" w:sz="2" w:space="0" w:color="787878"/>
          </w:divBdr>
          <w:divsChild>
            <w:div w:id="1133671643">
              <w:marLeft w:val="0"/>
              <w:marRight w:val="23609"/>
              <w:marTop w:val="516"/>
              <w:marBottom w:val="0"/>
              <w:divBdr>
                <w:top w:val="single" w:sz="2" w:space="0" w:color="auto"/>
                <w:left w:val="single" w:sz="2" w:space="0" w:color="auto"/>
                <w:bottom w:val="single" w:sz="2" w:space="0" w:color="auto"/>
                <w:right w:val="single" w:sz="2" w:space="0" w:color="auto"/>
              </w:divBdr>
            </w:div>
          </w:divsChild>
        </w:div>
        <w:div w:id="900361066">
          <w:marLeft w:val="742"/>
          <w:marRight w:val="0"/>
          <w:marTop w:val="0"/>
          <w:marBottom w:val="0"/>
          <w:divBdr>
            <w:top w:val="single" w:sz="2" w:space="0" w:color="787878"/>
            <w:left w:val="single" w:sz="2" w:space="0" w:color="787878"/>
            <w:bottom w:val="single" w:sz="2" w:space="14" w:color="787878"/>
            <w:right w:val="single" w:sz="2" w:space="0" w:color="787878"/>
          </w:divBdr>
          <w:divsChild>
            <w:div w:id="1266384412">
              <w:marLeft w:val="0"/>
              <w:marRight w:val="23609"/>
              <w:marTop w:val="322"/>
              <w:marBottom w:val="0"/>
              <w:divBdr>
                <w:top w:val="single" w:sz="2" w:space="0" w:color="auto"/>
                <w:left w:val="single" w:sz="2" w:space="0" w:color="auto"/>
                <w:bottom w:val="single" w:sz="2" w:space="0" w:color="auto"/>
                <w:right w:val="single" w:sz="2" w:space="0" w:color="auto"/>
              </w:divBdr>
            </w:div>
          </w:divsChild>
        </w:div>
      </w:divsChild>
    </w:div>
    <w:div w:id="2007052378">
      <w:bodyDiv w:val="1"/>
      <w:marLeft w:val="0"/>
      <w:marRight w:val="0"/>
      <w:marTop w:val="0"/>
      <w:marBottom w:val="0"/>
      <w:divBdr>
        <w:top w:val="none" w:sz="0" w:space="0" w:color="auto"/>
        <w:left w:val="none" w:sz="0" w:space="0" w:color="auto"/>
        <w:bottom w:val="none" w:sz="0" w:space="0" w:color="auto"/>
        <w:right w:val="none" w:sz="0" w:space="0" w:color="auto"/>
      </w:divBdr>
    </w:div>
    <w:div w:id="2018774480">
      <w:bodyDiv w:val="1"/>
      <w:marLeft w:val="0"/>
      <w:marRight w:val="0"/>
      <w:marTop w:val="0"/>
      <w:marBottom w:val="0"/>
      <w:divBdr>
        <w:top w:val="none" w:sz="0" w:space="0" w:color="auto"/>
        <w:left w:val="none" w:sz="0" w:space="0" w:color="auto"/>
        <w:bottom w:val="none" w:sz="0" w:space="0" w:color="auto"/>
        <w:right w:val="none" w:sz="0" w:space="0" w:color="auto"/>
      </w:divBdr>
    </w:div>
    <w:div w:id="2063483192">
      <w:bodyDiv w:val="1"/>
      <w:marLeft w:val="0"/>
      <w:marRight w:val="0"/>
      <w:marTop w:val="0"/>
      <w:marBottom w:val="0"/>
      <w:divBdr>
        <w:top w:val="none" w:sz="0" w:space="0" w:color="auto"/>
        <w:left w:val="none" w:sz="0" w:space="0" w:color="auto"/>
        <w:bottom w:val="none" w:sz="0" w:space="0" w:color="auto"/>
        <w:right w:val="none" w:sz="0" w:space="0" w:color="auto"/>
      </w:divBdr>
    </w:div>
    <w:div w:id="20714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nes.scot.nhs.uk/about-us/equality-and-diversity/equality-monitoring.aspx" TargetMode="External"/><Relationship Id="rId3" Type="http://schemas.openxmlformats.org/officeDocument/2006/relationships/hyperlink" Target="https://www.closethegap.org.uk/content/faq/" TargetMode="External"/><Relationship Id="rId7" Type="http://schemas.openxmlformats.org/officeDocument/2006/relationships/hyperlink" Target="http://www.legislation.gov.uk/sdsi/2012/9780111016718/contents" TargetMode="External"/><Relationship Id="rId12" Type="http://schemas.openxmlformats.org/officeDocument/2006/relationships/hyperlink" Target="https://turasdata.nes.nhs.scot/media/2prjxbg4/2020-06-02-workforce-report.pdf" TargetMode="External"/><Relationship Id="rId2" Type="http://schemas.openxmlformats.org/officeDocument/2006/relationships/hyperlink" Target="http://www.gov.scot/Publications/2016/06/4807" TargetMode="External"/><Relationship Id="rId1" Type="http://schemas.openxmlformats.org/officeDocument/2006/relationships/hyperlink" Target="http://www.legislation.gov.uk/sdsi/2012/9780111016718/contents" TargetMode="External"/><Relationship Id="rId6" Type="http://schemas.openxmlformats.org/officeDocument/2006/relationships/hyperlink" Target="https://www.gov.scot/binaries/content/documents/govscot/publications/research-and-analysis/2020/09/the-impacts-of-covid-19-on-equality-in-scotland/documents/full-report/full-report/govscot%3Adocument/Covid%2Band%2BInequalities%2BFinal%2BReport%2BFor%2BPublication%2B-%2BPDF.pdf" TargetMode="External"/><Relationship Id="rId11" Type="http://schemas.openxmlformats.org/officeDocument/2006/relationships/hyperlink" Target="http://www.gcu.ac.uk/media/gcalwebv2/theuniversity/centresprojects/wise/WiSE%20Briefing%20Paper%20No%202%20final.pdf" TargetMode="External"/><Relationship Id="rId5" Type="http://schemas.openxmlformats.org/officeDocument/2006/relationships/hyperlink" Target="https://www.equalityhumanrights.com/en/advice-and-guidance/public-sector-equality-duty" TargetMode="External"/><Relationship Id="rId10" Type="http://schemas.openxmlformats.org/officeDocument/2006/relationships/hyperlink" Target="https://www.closethegap.org.uk/content/resources/Gender-Pay-Gap-Statistics---Working-Paper-20-.pdf" TargetMode="External"/><Relationship Id="rId4" Type="http://schemas.openxmlformats.org/officeDocument/2006/relationships/hyperlink" Target="http://www.staffgovernance.scot.nhs.uk/what-is-staff-governance/staff-governance-standard/" TargetMode="External"/><Relationship Id="rId9" Type="http://schemas.openxmlformats.org/officeDocument/2006/relationships/hyperlink" Target="https://www.closethegap.org.uk/content/resources/Close-the-Gap-PSED-guidance-on-gender-and-employment-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B7A718F69FA41A9C17EDAC7BFDA84" ma:contentTypeVersion="13" ma:contentTypeDescription="Create a new document." ma:contentTypeScope="" ma:versionID="d203c21b55912151c91d709de96f9518">
  <xsd:schema xmlns:xsd="http://www.w3.org/2001/XMLSchema" xmlns:xs="http://www.w3.org/2001/XMLSchema" xmlns:p="http://schemas.microsoft.com/office/2006/metadata/properties" xmlns:ns3="094c0d37-fd1c-464c-8a22-849a0545630f" xmlns:ns4="da609951-432d-42ab-b1d6-19e1fa0a9737" targetNamespace="http://schemas.microsoft.com/office/2006/metadata/properties" ma:root="true" ma:fieldsID="833580237b155ba84dc4a6fb28328d37" ns3:_="" ns4:_="">
    <xsd:import namespace="094c0d37-fd1c-464c-8a22-849a0545630f"/>
    <xsd:import namespace="da609951-432d-42ab-b1d6-19e1fa0a97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c0d37-fd1c-464c-8a22-849a054563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09951-432d-42ab-b1d6-19e1fa0a973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D4009D3-9F1D-4919-866A-EF2B2E80A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c0d37-fd1c-464c-8a22-849a0545630f"/>
    <ds:schemaRef ds:uri="da609951-432d-42ab-b1d6-19e1fa0a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C3C4D6-3D89-4BC5-B459-FB0C0A4F18F8}">
  <ds:schemaRefs>
    <ds:schemaRef ds:uri="http://schemas.microsoft.com/sharepoint/v3/contenttype/forms"/>
  </ds:schemaRefs>
</ds:datastoreItem>
</file>

<file path=customXml/itemProps3.xml><?xml version="1.0" encoding="utf-8"?>
<ds:datastoreItem xmlns:ds="http://schemas.openxmlformats.org/officeDocument/2006/customXml" ds:itemID="{04D5CD1B-19DA-409B-AAB6-E90123770A41}">
  <ds:schemaRefs>
    <ds:schemaRef ds:uri="094c0d37-fd1c-464c-8a22-849a0545630f"/>
    <ds:schemaRef ds:uri="http://purl.org/dc/dcmitype/"/>
    <ds:schemaRef ds:uri="http://schemas.microsoft.com/office/infopath/2007/PartnerControls"/>
    <ds:schemaRef ds:uri="http://schemas.microsoft.com/office/2006/documentManagement/types"/>
    <ds:schemaRef ds:uri="da609951-432d-42ab-b1d6-19e1fa0a9737"/>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EBB0FCE-BA0F-469F-84CC-B134D5392067}">
  <ds:schemaRefs>
    <ds:schemaRef ds:uri="http://schemas.openxmlformats.org/officeDocument/2006/bibliography"/>
  </ds:schemaRefs>
</ds:datastoreItem>
</file>

<file path=customXml/itemProps5.xml><?xml version="1.0" encoding="utf-8"?>
<ds:datastoreItem xmlns:ds="http://schemas.openxmlformats.org/officeDocument/2006/customXml" ds:itemID="{14500D29-07B8-44AA-B3BD-D901C3E92CC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22</Pages>
  <Words>5379</Words>
  <Characters>35098</Characters>
  <Application>Microsoft Office Word</Application>
  <DocSecurity>0</DocSecurity>
  <Lines>292</Lines>
  <Paragraphs>80</Paragraphs>
  <ScaleCrop>false</ScaleCrop>
  <HeadingPairs>
    <vt:vector size="2" baseType="variant">
      <vt:variant>
        <vt:lpstr>Title</vt:lpstr>
      </vt:variant>
      <vt:variant>
        <vt:i4>1</vt:i4>
      </vt:variant>
    </vt:vector>
  </HeadingPairs>
  <TitlesOfParts>
    <vt:vector size="1" baseType="lpstr">
      <vt:lpstr>NHS Education for Scotland: Equal Pay Statement</vt:lpstr>
    </vt:vector>
  </TitlesOfParts>
  <Company>NHS Education for Scotland</Company>
  <LinksUpToDate>false</LinksUpToDate>
  <CharactersWithSpaces>40397</CharactersWithSpaces>
  <SharedDoc>false</SharedDoc>
  <HLinks>
    <vt:vector size="66" baseType="variant">
      <vt:variant>
        <vt:i4>5767236</vt:i4>
      </vt:variant>
      <vt:variant>
        <vt:i4>30</vt:i4>
      </vt:variant>
      <vt:variant>
        <vt:i4>0</vt:i4>
      </vt:variant>
      <vt:variant>
        <vt:i4>5</vt:i4>
      </vt:variant>
      <vt:variant>
        <vt:lpwstr>https://turasdata.nes.nhs.scot/media/2prjxbg4/2020-06-02-workforce-report.pdf</vt:lpwstr>
      </vt:variant>
      <vt:variant>
        <vt:lpwstr/>
      </vt:variant>
      <vt:variant>
        <vt:i4>3407927</vt:i4>
      </vt:variant>
      <vt:variant>
        <vt:i4>27</vt:i4>
      </vt:variant>
      <vt:variant>
        <vt:i4>0</vt:i4>
      </vt:variant>
      <vt:variant>
        <vt:i4>5</vt:i4>
      </vt:variant>
      <vt:variant>
        <vt:lpwstr>http://www.gcu.ac.uk/media/gcalwebv2/theuniversity/centresprojects/wise/WiSE Briefing Paper No 2 final.pdf</vt:lpwstr>
      </vt:variant>
      <vt:variant>
        <vt:lpwstr/>
      </vt:variant>
      <vt:variant>
        <vt:i4>3342457</vt:i4>
      </vt:variant>
      <vt:variant>
        <vt:i4>24</vt:i4>
      </vt:variant>
      <vt:variant>
        <vt:i4>0</vt:i4>
      </vt:variant>
      <vt:variant>
        <vt:i4>5</vt:i4>
      </vt:variant>
      <vt:variant>
        <vt:lpwstr>https://www.closethegap.org.uk/content/resources/Gender-Pay-Gap-Statistics---Working-Paper-20-.pdf</vt:lpwstr>
      </vt:variant>
      <vt:variant>
        <vt:lpwstr/>
      </vt:variant>
      <vt:variant>
        <vt:i4>8060973</vt:i4>
      </vt:variant>
      <vt:variant>
        <vt:i4>21</vt:i4>
      </vt:variant>
      <vt:variant>
        <vt:i4>0</vt:i4>
      </vt:variant>
      <vt:variant>
        <vt:i4>5</vt:i4>
      </vt:variant>
      <vt:variant>
        <vt:lpwstr>https://www.closethegap.org.uk/content/resources/Close-the-Gap-PSED-guidance-on-gender-and-employment-2016.pdf</vt:lpwstr>
      </vt:variant>
      <vt:variant>
        <vt:lpwstr/>
      </vt:variant>
      <vt:variant>
        <vt:i4>3080310</vt:i4>
      </vt:variant>
      <vt:variant>
        <vt:i4>18</vt:i4>
      </vt:variant>
      <vt:variant>
        <vt:i4>0</vt:i4>
      </vt:variant>
      <vt:variant>
        <vt:i4>5</vt:i4>
      </vt:variant>
      <vt:variant>
        <vt:lpwstr>http://www.nes.scot.nhs.uk/about-us/equality-and-diversity/equality-monitoring.aspx</vt:lpwstr>
      </vt:variant>
      <vt:variant>
        <vt:lpwstr/>
      </vt:variant>
      <vt:variant>
        <vt:i4>7798817</vt:i4>
      </vt:variant>
      <vt:variant>
        <vt:i4>15</vt:i4>
      </vt:variant>
      <vt:variant>
        <vt:i4>0</vt:i4>
      </vt:variant>
      <vt:variant>
        <vt:i4>5</vt:i4>
      </vt:variant>
      <vt:variant>
        <vt:lpwstr>http://www.legislation.gov.uk/sdsi/2012/9780111016718/contents</vt:lpwstr>
      </vt:variant>
      <vt:variant>
        <vt:lpwstr/>
      </vt:variant>
      <vt:variant>
        <vt:i4>2162787</vt:i4>
      </vt:variant>
      <vt:variant>
        <vt:i4>12</vt:i4>
      </vt:variant>
      <vt:variant>
        <vt:i4>0</vt:i4>
      </vt:variant>
      <vt:variant>
        <vt:i4>5</vt:i4>
      </vt:variant>
      <vt:variant>
        <vt:lpwstr>https://www.equalityhumanrights.com/en/advice-and-guidance/public-sector-equality-duty</vt:lpwstr>
      </vt:variant>
      <vt:variant>
        <vt:lpwstr/>
      </vt:variant>
      <vt:variant>
        <vt:i4>2490482</vt:i4>
      </vt:variant>
      <vt:variant>
        <vt:i4>9</vt:i4>
      </vt:variant>
      <vt:variant>
        <vt:i4>0</vt:i4>
      </vt:variant>
      <vt:variant>
        <vt:i4>5</vt:i4>
      </vt:variant>
      <vt:variant>
        <vt:lpwstr>http://www.staffgovernance.scot.nhs.uk/what-is-staff-governance/staff-governance-standard/</vt:lpwstr>
      </vt:variant>
      <vt:variant>
        <vt:lpwstr/>
      </vt:variant>
      <vt:variant>
        <vt:i4>1441901</vt:i4>
      </vt:variant>
      <vt:variant>
        <vt:i4>6</vt:i4>
      </vt:variant>
      <vt:variant>
        <vt:i4>0</vt:i4>
      </vt:variant>
      <vt:variant>
        <vt:i4>5</vt:i4>
      </vt:variant>
      <vt:variant>
        <vt:lpwstr>https://www.closethegap.org.uk/content/faq/</vt:lpwstr>
      </vt:variant>
      <vt:variant>
        <vt:lpwstr>rlslider_5</vt:lpwstr>
      </vt:variant>
      <vt:variant>
        <vt:i4>327701</vt:i4>
      </vt:variant>
      <vt:variant>
        <vt:i4>3</vt:i4>
      </vt:variant>
      <vt:variant>
        <vt:i4>0</vt:i4>
      </vt:variant>
      <vt:variant>
        <vt:i4>5</vt:i4>
      </vt:variant>
      <vt:variant>
        <vt:lpwstr>http://www.gov.scot/Publications/2016/06/4807</vt:lpwstr>
      </vt:variant>
      <vt:variant>
        <vt:lpwstr/>
      </vt:variant>
      <vt:variant>
        <vt:i4>7798817</vt:i4>
      </vt:variant>
      <vt:variant>
        <vt:i4>0</vt:i4>
      </vt:variant>
      <vt:variant>
        <vt:i4>0</vt:i4>
      </vt:variant>
      <vt:variant>
        <vt:i4>5</vt:i4>
      </vt:variant>
      <vt:variant>
        <vt:lpwstr>http://www.legislation.gov.uk/sdsi/2012/9780111016718/contents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Education for Scotland: Equal Pay Statement</dc:title>
  <dc:subject/>
  <dc:creator>AmeetB</dc:creator>
  <cp:keywords/>
  <cp:lastModifiedBy>Kristi Long</cp:lastModifiedBy>
  <cp:revision>125</cp:revision>
  <cp:lastPrinted>2017-01-11T00:56:00Z</cp:lastPrinted>
  <dcterms:created xsi:type="dcterms:W3CDTF">2021-01-22T08:25:00Z</dcterms:created>
  <dcterms:modified xsi:type="dcterms:W3CDTF">2021-04-21T09:45:00Z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ze">
    <vt:r8>186880</vt:r8>
  </property>
  <property fmtid="{D5CDD505-2E9C-101B-9397-08002B2CF9AE}" pid="3" name="Created Date1">
    <vt:lpwstr>2016-03-21T15:16:25Z</vt:lpwstr>
  </property>
  <property fmtid="{D5CDD505-2E9C-101B-9397-08002B2CF9AE}" pid="4" name="Modified Date">
    <vt:lpwstr>2016-03-21T15:16:27Z</vt:lpwstr>
  </property>
  <property fmtid="{D5CDD505-2E9C-101B-9397-08002B2CF9AE}" pid="5" name="MimeType">
    <vt:lpwstr>application/msword</vt:lpwstr>
  </property>
  <property fmtid="{D5CDD505-2E9C-101B-9397-08002B2CF9AE}" pid="6" name="Creator">
    <vt:lpwstr>AmeetB</vt:lpwstr>
  </property>
  <property fmtid="{D5CDD505-2E9C-101B-9397-08002B2CF9AE}" pid="7" name="Legacy ID">
    <vt:lpwstr>9ec2b467-4131-4679-94bb-24ddc9dede0d</vt:lpwstr>
  </property>
  <property fmtid="{D5CDD505-2E9C-101B-9397-08002B2CF9AE}" pid="8" name="Modifier">
    <vt:lpwstr>AmeetB</vt:lpwstr>
  </property>
  <property fmtid="{D5CDD505-2E9C-101B-9397-08002B2CF9AE}" pid="9" name="Sample Rate">
    <vt:lpwstr/>
  </property>
  <property fmtid="{D5CDD505-2E9C-101B-9397-08002B2CF9AE}" pid="10" name="Genre">
    <vt:lpwstr/>
  </property>
  <property fmtid="{D5CDD505-2E9C-101B-9397-08002B2CF9AE}" pid="11" name="ISO Speed">
    <vt:lpwstr/>
  </property>
  <property fmtid="{D5CDD505-2E9C-101B-9397-08002B2CF9AE}" pid="12" name="Flash Activated">
    <vt:bool>false</vt:bool>
  </property>
  <property fmtid="{D5CDD505-2E9C-101B-9397-08002B2CF9AE}" pid="13" name="Compressor">
    <vt:lpwstr/>
  </property>
  <property fmtid="{D5CDD505-2E9C-101B-9397-08002B2CF9AE}" pid="14" name="KpiDescription">
    <vt:lpwstr/>
  </property>
  <property fmtid="{D5CDD505-2E9C-101B-9397-08002B2CF9AE}" pid="15" name="Camera Manufacturer">
    <vt:lpwstr/>
  </property>
  <property fmtid="{D5CDD505-2E9C-101B-9397-08002B2CF9AE}" pid="16" name="Vertical Resolution">
    <vt:lpwstr/>
  </property>
  <property fmtid="{D5CDD505-2E9C-101B-9397-08002B2CF9AE}" pid="17" name="Horizontal Resolution">
    <vt:lpwstr/>
  </property>
  <property fmtid="{D5CDD505-2E9C-101B-9397-08002B2CF9AE}" pid="18" name="Camera Software">
    <vt:lpwstr/>
  </property>
  <property fmtid="{D5CDD505-2E9C-101B-9397-08002B2CF9AE}" pid="19" name="Camera Model">
    <vt:lpwstr/>
  </property>
  <property fmtid="{D5CDD505-2E9C-101B-9397-08002B2CF9AE}" pid="20" name="Artist">
    <vt:lpwstr/>
  </property>
  <property fmtid="{D5CDD505-2E9C-101B-9397-08002B2CF9AE}" pid="21" name="Resolution Unit">
    <vt:lpwstr/>
  </property>
  <property fmtid="{D5CDD505-2E9C-101B-9397-08002B2CF9AE}" pid="22" name="Image width">
    <vt:lpwstr/>
  </property>
  <property fmtid="{D5CDD505-2E9C-101B-9397-08002B2CF9AE}" pid="23" name="Engineer">
    <vt:lpwstr/>
  </property>
  <property fmtid="{D5CDD505-2E9C-101B-9397-08002B2CF9AE}" pid="24" name="Composer">
    <vt:lpwstr/>
  </property>
  <property fmtid="{D5CDD505-2E9C-101B-9397-08002B2CF9AE}" pid="25" name="F Number">
    <vt:lpwstr/>
  </property>
  <property fmtid="{D5CDD505-2E9C-101B-9397-08002B2CF9AE}" pid="26" name="Image Height">
    <vt:lpwstr/>
  </property>
  <property fmtid="{D5CDD505-2E9C-101B-9397-08002B2CF9AE}" pid="27" name="Tags">
    <vt:lpwstr/>
  </property>
  <property fmtid="{D5CDD505-2E9C-101B-9397-08002B2CF9AE}" pid="28" name="Album">
    <vt:lpwstr/>
  </property>
  <property fmtid="{D5CDD505-2E9C-101B-9397-08002B2CF9AE}" pid="29" name="Channel Type">
    <vt:lpwstr/>
  </property>
  <property fmtid="{D5CDD505-2E9C-101B-9397-08002B2CF9AE}" pid="30" name="Track Number">
    <vt:lpwstr/>
  </property>
  <property fmtid="{D5CDD505-2E9C-101B-9397-08002B2CF9AE}" pid="31" name="Focal Length">
    <vt:lpwstr/>
  </property>
  <property fmtid="{D5CDD505-2E9C-101B-9397-08002B2CF9AE}" pid="32" name="Orientation">
    <vt:lpwstr/>
  </property>
  <property fmtid="{D5CDD505-2E9C-101B-9397-08002B2CF9AE}" pid="33" name="Esposure Time">
    <vt:lpwstr/>
  </property>
  <property fmtid="{D5CDD505-2E9C-101B-9397-08002B2CF9AE}" pid="34" name="ContentTypeId">
    <vt:lpwstr>0x010100A86B7A718F69FA41A9C17EDAC7BFDA84</vt:lpwstr>
  </property>
  <property fmtid="{D5CDD505-2E9C-101B-9397-08002B2CF9AE}" pid="35" name="display_urn:schemas-microsoft-com:office:office#SharedWithUsers">
    <vt:lpwstr>Morag McElhinney</vt:lpwstr>
  </property>
  <property fmtid="{D5CDD505-2E9C-101B-9397-08002B2CF9AE}" pid="36" name="SharedWithUsers">
    <vt:lpwstr>87;#Morag McElhinney;#38;#Ameet Bellad;#399;#John MacEachen;#143;#Jen Calder</vt:lpwstr>
  </property>
  <property fmtid="{D5CDD505-2E9C-101B-9397-08002B2CF9AE}" pid="37" name="_dlc_DocIdItemGuid">
    <vt:lpwstr>1e9cb3db-86f5-4da2-8dac-5f1226f2dc96</vt:lpwstr>
  </property>
  <property fmtid="{D5CDD505-2E9C-101B-9397-08002B2CF9AE}" pid="38" name="Order">
    <vt:r8>241500</vt:r8>
  </property>
  <property fmtid="{D5CDD505-2E9C-101B-9397-08002B2CF9AE}" pid="39" name="xd_ProgID">
    <vt:lpwstr/>
  </property>
  <property fmtid="{D5CDD505-2E9C-101B-9397-08002B2CF9AE}" pid="40" name="TemplateUrl">
    <vt:lpwstr/>
  </property>
  <property fmtid="{D5CDD505-2E9C-101B-9397-08002B2CF9AE}" pid="41" name="_CopySource">
    <vt:lpwstr>https://scottish.sharepoint.com/sites/8nes/ed/Shared Documents/Statutory Reports/2017 Report development/Final versions/NES Equal Pay Statment 2017 Final.docx</vt:lpwstr>
  </property>
</Properties>
</file>