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627" w:rsidRDefault="2D996BDD" w:rsidP="7FFB4009">
      <w:pPr>
        <w:jc w:val="center"/>
        <w:rPr>
          <w:rFonts w:eastAsiaTheme="minorEastAsia"/>
          <w:b/>
          <w:bCs/>
          <w:sz w:val="24"/>
          <w:szCs w:val="24"/>
        </w:rPr>
      </w:pPr>
      <w:r w:rsidRPr="7FFB4009">
        <w:rPr>
          <w:rFonts w:eastAsiaTheme="minorEastAsia"/>
          <w:b/>
          <w:bCs/>
          <w:sz w:val="24"/>
          <w:szCs w:val="24"/>
        </w:rPr>
        <w:t xml:space="preserve">AHP Public Health Case Study Template for RSPH </w:t>
      </w:r>
      <w:r w:rsidR="526D3A92" w:rsidRPr="7FFB4009">
        <w:rPr>
          <w:rFonts w:eastAsiaTheme="minorEastAsia"/>
          <w:b/>
          <w:bCs/>
          <w:sz w:val="24"/>
          <w:szCs w:val="24"/>
        </w:rPr>
        <w:t xml:space="preserve">AHP </w:t>
      </w:r>
      <w:r w:rsidRPr="7FFB4009">
        <w:rPr>
          <w:rFonts w:eastAsiaTheme="minorEastAsia"/>
          <w:b/>
          <w:bCs/>
          <w:sz w:val="24"/>
          <w:szCs w:val="24"/>
        </w:rPr>
        <w:t>Hub</w:t>
      </w:r>
    </w:p>
    <w:p w:rsidR="00271627" w:rsidRDefault="2D996BDD" w:rsidP="02819F87">
      <w:pPr>
        <w:rPr>
          <w:rFonts w:eastAsiaTheme="minorEastAsia"/>
        </w:rPr>
      </w:pPr>
      <w:r w:rsidRPr="7FFB4009">
        <w:rPr>
          <w:rFonts w:eastAsiaTheme="minorEastAsia"/>
        </w:rPr>
        <w:t xml:space="preserve">Please use this template to submit a case study for the AHP public health hub. </w:t>
      </w:r>
    </w:p>
    <w:p w:rsidR="00271627" w:rsidRDefault="6787C033" w:rsidP="7FFB4009">
      <w:pPr>
        <w:rPr>
          <w:rFonts w:eastAsiaTheme="minorEastAsia"/>
        </w:rPr>
      </w:pPr>
      <w:r w:rsidRPr="7FFB4009">
        <w:rPr>
          <w:rFonts w:eastAsiaTheme="minorEastAsia"/>
        </w:rPr>
        <w:t xml:space="preserve">Case studies should be service improvements, innovative ways of working or practice examples related to public health. They do not necessarily need to be ‘projects’ (with a beginning middle and end). Please </w:t>
      </w:r>
      <w:r w:rsidR="00583491">
        <w:rPr>
          <w:rFonts w:eastAsiaTheme="minorEastAsia"/>
        </w:rPr>
        <w:t xml:space="preserve">see published </w:t>
      </w:r>
      <w:r w:rsidRPr="7FFB4009">
        <w:rPr>
          <w:rFonts w:eastAsiaTheme="minorEastAsia"/>
        </w:rPr>
        <w:t xml:space="preserve">case studies on the RSPH AHP hub for examples. </w:t>
      </w:r>
    </w:p>
    <w:p w:rsidR="00271627" w:rsidRDefault="2D996BDD" w:rsidP="7FFB4009">
      <w:pPr>
        <w:rPr>
          <w:rFonts w:eastAsiaTheme="minorEastAsia"/>
        </w:rPr>
      </w:pPr>
      <w:r w:rsidRPr="7FFB4009">
        <w:rPr>
          <w:rFonts w:eastAsiaTheme="minorEastAsia"/>
        </w:rPr>
        <w:t xml:space="preserve">Case studies will also be considered for the World Health </w:t>
      </w:r>
      <w:proofErr w:type="spellStart"/>
      <w:r w:rsidRPr="7FFB4009">
        <w:rPr>
          <w:rFonts w:eastAsiaTheme="minorEastAsia"/>
        </w:rPr>
        <w:t>Organisation</w:t>
      </w:r>
      <w:proofErr w:type="spellEnd"/>
      <w:r w:rsidRPr="7FFB4009">
        <w:rPr>
          <w:rFonts w:eastAsiaTheme="minorEastAsia"/>
        </w:rPr>
        <w:t xml:space="preserve"> public health nursing, midwifery and AHPs collaborating centre</w:t>
      </w:r>
      <w:r w:rsidR="1FC4FF94" w:rsidRPr="7FFB4009">
        <w:rPr>
          <w:rFonts w:eastAsiaTheme="minorEastAsia"/>
        </w:rPr>
        <w:t xml:space="preserve"> website. </w:t>
      </w:r>
    </w:p>
    <w:p w:rsidR="6BE96E0F" w:rsidRDefault="6BE96E0F" w:rsidP="6BE96E0F">
      <w:pPr>
        <w:rPr>
          <w:rFonts w:eastAsiaTheme="minorEastAsia"/>
        </w:rPr>
      </w:pPr>
    </w:p>
    <w:p w:rsidR="0608CCD9" w:rsidRDefault="0608CCD9" w:rsidP="7FFB4009">
      <w:pPr>
        <w:rPr>
          <w:rFonts w:eastAsiaTheme="minorEastAsia"/>
          <w:b/>
          <w:bCs/>
        </w:rPr>
      </w:pPr>
      <w:r w:rsidRPr="7FFB4009">
        <w:rPr>
          <w:rFonts w:eastAsiaTheme="minorEastAsia"/>
          <w:b/>
          <w:bCs/>
        </w:rPr>
        <w:t xml:space="preserve">Your details: </w:t>
      </w:r>
    </w:p>
    <w:tbl>
      <w:tblPr>
        <w:tblStyle w:val="TableGrid"/>
        <w:tblW w:w="0" w:type="auto"/>
        <w:tblLayout w:type="fixed"/>
        <w:tblLook w:val="04A0" w:firstRow="1" w:lastRow="0" w:firstColumn="1" w:lastColumn="0" w:noHBand="0" w:noVBand="1"/>
      </w:tblPr>
      <w:tblGrid>
        <w:gridCol w:w="4815"/>
        <w:gridCol w:w="3058"/>
        <w:gridCol w:w="1487"/>
      </w:tblGrid>
      <w:tr w:rsidR="7628B980" w:rsidTr="02819F87">
        <w:tc>
          <w:tcPr>
            <w:tcW w:w="4815" w:type="dxa"/>
          </w:tcPr>
          <w:p w:rsidR="7628B980" w:rsidRDefault="7628B980" w:rsidP="02819F87">
            <w:pPr>
              <w:spacing w:line="259" w:lineRule="auto"/>
              <w:rPr>
                <w:rFonts w:eastAsiaTheme="minorEastAsia"/>
                <w:color w:val="000000" w:themeColor="text1"/>
              </w:rPr>
            </w:pPr>
          </w:p>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Name</w:t>
            </w:r>
            <w:r w:rsidR="1108D0ED" w:rsidRPr="02819F87">
              <w:rPr>
                <w:rFonts w:eastAsiaTheme="minorEastAsia"/>
                <w:color w:val="000000" w:themeColor="text1"/>
                <w:lang w:val="en-GB"/>
              </w:rPr>
              <w:t>(s) of author(s)</w:t>
            </w:r>
          </w:p>
        </w:tc>
        <w:tc>
          <w:tcPr>
            <w:tcW w:w="4545" w:type="dxa"/>
            <w:gridSpan w:val="2"/>
          </w:tcPr>
          <w:p w:rsidR="7628B980" w:rsidRDefault="00583491" w:rsidP="02819F87">
            <w:pPr>
              <w:spacing w:line="259" w:lineRule="auto"/>
              <w:rPr>
                <w:rFonts w:eastAsiaTheme="minorEastAsia"/>
                <w:color w:val="000000" w:themeColor="text1"/>
                <w:lang w:val="en-GB"/>
              </w:rPr>
            </w:pPr>
            <w:r>
              <w:rPr>
                <w:rFonts w:eastAsiaTheme="minorEastAsia"/>
                <w:color w:val="000000" w:themeColor="text1"/>
                <w:lang w:val="en-GB"/>
              </w:rPr>
              <w:t>Linda McGrath</w:t>
            </w:r>
          </w:p>
        </w:tc>
      </w:tr>
      <w:tr w:rsidR="7628B980" w:rsidTr="02819F87">
        <w:tc>
          <w:tcPr>
            <w:tcW w:w="4815" w:type="dxa"/>
          </w:tcPr>
          <w:p w:rsidR="7628B980" w:rsidRDefault="7628B980" w:rsidP="02819F87">
            <w:pPr>
              <w:spacing w:line="259" w:lineRule="auto"/>
              <w:rPr>
                <w:rFonts w:eastAsiaTheme="minorEastAsia"/>
                <w:color w:val="000000" w:themeColor="text1"/>
              </w:rPr>
            </w:pPr>
          </w:p>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Profession(s)</w:t>
            </w:r>
          </w:p>
        </w:tc>
        <w:tc>
          <w:tcPr>
            <w:tcW w:w="4545" w:type="dxa"/>
            <w:gridSpan w:val="2"/>
          </w:tcPr>
          <w:p w:rsidR="7628B980" w:rsidRDefault="00B233BD" w:rsidP="02819F87">
            <w:pPr>
              <w:spacing w:line="259" w:lineRule="auto"/>
              <w:rPr>
                <w:rFonts w:eastAsiaTheme="minorEastAsia"/>
                <w:color w:val="000000" w:themeColor="text1"/>
                <w:lang w:val="en-GB"/>
              </w:rPr>
            </w:pPr>
            <w:r>
              <w:rPr>
                <w:rFonts w:eastAsiaTheme="minorEastAsia"/>
                <w:color w:val="000000" w:themeColor="text1"/>
                <w:lang w:val="en-GB"/>
              </w:rPr>
              <w:t>Dietetics</w:t>
            </w:r>
          </w:p>
        </w:tc>
      </w:tr>
      <w:tr w:rsidR="7628B980" w:rsidTr="02819F87">
        <w:tc>
          <w:tcPr>
            <w:tcW w:w="4815" w:type="dxa"/>
          </w:tcPr>
          <w:p w:rsidR="7628B980" w:rsidRDefault="7628B980" w:rsidP="02819F87">
            <w:pPr>
              <w:spacing w:line="259" w:lineRule="auto"/>
              <w:rPr>
                <w:rFonts w:eastAsiaTheme="minorEastAsia"/>
                <w:color w:val="000000" w:themeColor="text1"/>
              </w:rPr>
            </w:pPr>
          </w:p>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Organisation</w:t>
            </w:r>
            <w:r w:rsidR="09A319AE" w:rsidRPr="02819F87">
              <w:rPr>
                <w:rFonts w:eastAsiaTheme="minorEastAsia"/>
                <w:color w:val="000000" w:themeColor="text1"/>
                <w:lang w:val="en-GB"/>
              </w:rPr>
              <w:t>(s)</w:t>
            </w:r>
          </w:p>
        </w:tc>
        <w:tc>
          <w:tcPr>
            <w:tcW w:w="4545" w:type="dxa"/>
            <w:gridSpan w:val="2"/>
          </w:tcPr>
          <w:p w:rsidR="7628B980" w:rsidRDefault="00583491" w:rsidP="02819F87">
            <w:pPr>
              <w:spacing w:line="259" w:lineRule="auto"/>
              <w:rPr>
                <w:rFonts w:eastAsiaTheme="minorEastAsia"/>
                <w:color w:val="000000" w:themeColor="text1"/>
                <w:lang w:val="en-GB"/>
              </w:rPr>
            </w:pPr>
            <w:r>
              <w:rPr>
                <w:rFonts w:eastAsiaTheme="minorEastAsia"/>
                <w:color w:val="000000" w:themeColor="text1"/>
                <w:lang w:val="en-GB"/>
              </w:rPr>
              <w:t xml:space="preserve">Community Food Team, </w:t>
            </w:r>
            <w:r w:rsidR="00B233BD">
              <w:rPr>
                <w:rFonts w:eastAsiaTheme="minorEastAsia"/>
                <w:color w:val="000000" w:themeColor="text1"/>
                <w:lang w:val="en-GB"/>
              </w:rPr>
              <w:t>NHS Tayside</w:t>
            </w:r>
          </w:p>
        </w:tc>
      </w:tr>
      <w:tr w:rsidR="7628B980" w:rsidTr="02819F87">
        <w:tc>
          <w:tcPr>
            <w:tcW w:w="4815" w:type="dxa"/>
          </w:tcPr>
          <w:p w:rsidR="7628B980" w:rsidRDefault="7628B980" w:rsidP="02819F87">
            <w:pPr>
              <w:spacing w:line="259" w:lineRule="auto"/>
              <w:rPr>
                <w:rFonts w:eastAsiaTheme="minorEastAsia"/>
                <w:color w:val="000000" w:themeColor="text1"/>
              </w:rPr>
            </w:pPr>
          </w:p>
          <w:p w:rsidR="2D079CE4" w:rsidRDefault="01D83823" w:rsidP="02819F87">
            <w:pPr>
              <w:spacing w:line="259" w:lineRule="auto"/>
              <w:rPr>
                <w:rFonts w:eastAsiaTheme="minorEastAsia"/>
                <w:color w:val="000000" w:themeColor="text1"/>
                <w:lang w:val="en-GB"/>
              </w:rPr>
            </w:pPr>
            <w:r w:rsidRPr="02819F87">
              <w:rPr>
                <w:rFonts w:eastAsiaTheme="minorEastAsia"/>
                <w:color w:val="000000" w:themeColor="text1"/>
                <w:lang w:val="en-GB"/>
              </w:rPr>
              <w:t xml:space="preserve">Preferred </w:t>
            </w:r>
            <w:r w:rsidR="38D250D1" w:rsidRPr="02819F87">
              <w:rPr>
                <w:rFonts w:eastAsiaTheme="minorEastAsia"/>
                <w:color w:val="000000" w:themeColor="text1"/>
                <w:lang w:val="en-GB"/>
              </w:rPr>
              <w:t>e</w:t>
            </w:r>
            <w:r w:rsidR="2CB123D4" w:rsidRPr="02819F87">
              <w:rPr>
                <w:rFonts w:eastAsiaTheme="minorEastAsia"/>
                <w:color w:val="000000" w:themeColor="text1"/>
                <w:lang w:val="en-GB"/>
              </w:rPr>
              <w:t>mail</w:t>
            </w:r>
            <w:r w:rsidR="6FFCD13B" w:rsidRPr="02819F87">
              <w:rPr>
                <w:rFonts w:eastAsiaTheme="minorEastAsia"/>
                <w:color w:val="000000" w:themeColor="text1"/>
                <w:lang w:val="en-GB"/>
              </w:rPr>
              <w:t xml:space="preserve"> </w:t>
            </w:r>
            <w:r w:rsidR="38AA8357" w:rsidRPr="02819F87">
              <w:rPr>
                <w:rFonts w:eastAsiaTheme="minorEastAsia"/>
                <w:color w:val="000000" w:themeColor="text1"/>
                <w:lang w:val="en-GB"/>
              </w:rPr>
              <w:t>address for contact</w:t>
            </w:r>
          </w:p>
          <w:p w:rsidR="7628B980" w:rsidRDefault="7628B980" w:rsidP="02819F87">
            <w:pPr>
              <w:spacing w:line="259" w:lineRule="auto"/>
              <w:rPr>
                <w:rFonts w:eastAsiaTheme="minorEastAsia"/>
                <w:color w:val="000000" w:themeColor="text1"/>
                <w:lang w:val="en-GB"/>
              </w:rPr>
            </w:pPr>
          </w:p>
        </w:tc>
        <w:tc>
          <w:tcPr>
            <w:tcW w:w="4545" w:type="dxa"/>
            <w:gridSpan w:val="2"/>
          </w:tcPr>
          <w:p w:rsidR="7628B980" w:rsidRDefault="00583491" w:rsidP="02819F87">
            <w:pPr>
              <w:spacing w:line="259" w:lineRule="auto"/>
              <w:rPr>
                <w:rFonts w:eastAsiaTheme="minorEastAsia"/>
                <w:lang w:val="en-GB"/>
              </w:rPr>
            </w:pPr>
            <w:r>
              <w:rPr>
                <w:rFonts w:eastAsiaTheme="minorEastAsia"/>
                <w:lang w:val="en-GB"/>
              </w:rPr>
              <w:t>linda.mcgrath@nhs.scot</w:t>
            </w:r>
          </w:p>
        </w:tc>
      </w:tr>
      <w:tr w:rsidR="7628B980" w:rsidTr="02819F87">
        <w:tc>
          <w:tcPr>
            <w:tcW w:w="4815" w:type="dxa"/>
          </w:tcPr>
          <w:p w:rsidR="5375899D" w:rsidRDefault="26B514B9" w:rsidP="02819F87">
            <w:pPr>
              <w:spacing w:line="259" w:lineRule="auto"/>
              <w:rPr>
                <w:rFonts w:eastAsiaTheme="minorEastAsia"/>
                <w:color w:val="000000" w:themeColor="text1"/>
              </w:rPr>
            </w:pPr>
            <w:r w:rsidRPr="02819F87">
              <w:rPr>
                <w:rFonts w:eastAsiaTheme="minorEastAsia"/>
                <w:color w:val="000000" w:themeColor="text1"/>
              </w:rPr>
              <w:t xml:space="preserve">Other email </w:t>
            </w:r>
            <w:r w:rsidR="50545B4A" w:rsidRPr="02819F87">
              <w:rPr>
                <w:rFonts w:eastAsiaTheme="minorEastAsia"/>
                <w:color w:val="000000" w:themeColor="text1"/>
              </w:rPr>
              <w:t xml:space="preserve">address </w:t>
            </w:r>
          </w:p>
          <w:p w:rsidR="5375899D" w:rsidRDefault="26B514B9" w:rsidP="02819F87">
            <w:pPr>
              <w:spacing w:line="259" w:lineRule="auto"/>
              <w:rPr>
                <w:rFonts w:eastAsiaTheme="minorEastAsia"/>
              </w:rPr>
            </w:pPr>
            <w:r w:rsidRPr="02819F87">
              <w:rPr>
                <w:rFonts w:eastAsiaTheme="minorEastAsia"/>
                <w:lang w:val="en-GB"/>
              </w:rPr>
              <w:t xml:space="preserve">(we will only use this email address if we </w:t>
            </w:r>
            <w:proofErr w:type="spellStart"/>
            <w:r w:rsidRPr="02819F87">
              <w:rPr>
                <w:rFonts w:eastAsiaTheme="minorEastAsia"/>
                <w:lang w:val="en-GB"/>
              </w:rPr>
              <w:t>can not</w:t>
            </w:r>
            <w:proofErr w:type="spellEnd"/>
            <w:r w:rsidRPr="02819F87">
              <w:rPr>
                <w:rFonts w:eastAsiaTheme="minorEastAsia"/>
                <w:lang w:val="en-GB"/>
              </w:rPr>
              <w:t xml:space="preserve"> contact you on your preferred email address)</w:t>
            </w:r>
          </w:p>
        </w:tc>
        <w:tc>
          <w:tcPr>
            <w:tcW w:w="4545" w:type="dxa"/>
            <w:gridSpan w:val="2"/>
          </w:tcPr>
          <w:p w:rsidR="7628B980" w:rsidRDefault="7628B980" w:rsidP="02819F87">
            <w:pPr>
              <w:spacing w:line="259" w:lineRule="auto"/>
              <w:rPr>
                <w:rFonts w:eastAsiaTheme="minorEastAsia"/>
                <w:lang w:val="en-GB"/>
              </w:rPr>
            </w:pPr>
          </w:p>
        </w:tc>
      </w:tr>
      <w:tr w:rsidR="7628B980" w:rsidTr="02819F87">
        <w:tc>
          <w:tcPr>
            <w:tcW w:w="4815" w:type="dxa"/>
          </w:tcPr>
          <w:p w:rsidR="7628B980" w:rsidRDefault="7628B980" w:rsidP="02819F87">
            <w:pPr>
              <w:spacing w:line="259" w:lineRule="auto"/>
              <w:rPr>
                <w:rFonts w:eastAsiaTheme="minorEastAsia"/>
                <w:color w:val="000000" w:themeColor="text1"/>
              </w:rPr>
            </w:pPr>
          </w:p>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Telephone No</w:t>
            </w:r>
          </w:p>
        </w:tc>
        <w:tc>
          <w:tcPr>
            <w:tcW w:w="4545" w:type="dxa"/>
            <w:gridSpan w:val="2"/>
          </w:tcPr>
          <w:p w:rsidR="7628B980" w:rsidRDefault="00B233BD" w:rsidP="02819F87">
            <w:pPr>
              <w:spacing w:line="259" w:lineRule="auto"/>
              <w:rPr>
                <w:rFonts w:eastAsiaTheme="minorEastAsia"/>
                <w:color w:val="000000" w:themeColor="text1"/>
                <w:lang w:val="en-GB"/>
              </w:rPr>
            </w:pPr>
            <w:r>
              <w:rPr>
                <w:rFonts w:ascii="Tahoma" w:hAnsi="Tahoma" w:cs="Tahoma"/>
                <w:color w:val="000000"/>
                <w:sz w:val="20"/>
                <w:szCs w:val="20"/>
                <w:shd w:val="clear" w:color="auto" w:fill="FFFFFF"/>
              </w:rPr>
              <w:t>01738 473507</w:t>
            </w:r>
          </w:p>
          <w:p w:rsidR="7628B980" w:rsidRDefault="7628B980" w:rsidP="02819F87">
            <w:pPr>
              <w:spacing w:line="259" w:lineRule="auto"/>
              <w:rPr>
                <w:rFonts w:eastAsiaTheme="minorEastAsia"/>
                <w:color w:val="000000" w:themeColor="text1"/>
                <w:lang w:val="en-GB"/>
              </w:rPr>
            </w:pPr>
          </w:p>
          <w:p w:rsidR="7628B980" w:rsidRDefault="7628B980" w:rsidP="02819F87">
            <w:pPr>
              <w:spacing w:line="259" w:lineRule="auto"/>
              <w:rPr>
                <w:rFonts w:eastAsiaTheme="minorEastAsia"/>
                <w:color w:val="000000" w:themeColor="text1"/>
                <w:lang w:val="en-GB"/>
              </w:rPr>
            </w:pPr>
          </w:p>
        </w:tc>
      </w:tr>
      <w:tr w:rsidR="7628B980" w:rsidTr="02819F87">
        <w:trPr>
          <w:trHeight w:val="300"/>
        </w:trPr>
        <w:tc>
          <w:tcPr>
            <w:tcW w:w="7873" w:type="dxa"/>
            <w:gridSpan w:val="2"/>
          </w:tcPr>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I give permission to be contacted in relation to this case study by PHE, members of the review team or RSPH</w:t>
            </w:r>
          </w:p>
        </w:tc>
        <w:tc>
          <w:tcPr>
            <w:tcW w:w="1487" w:type="dxa"/>
          </w:tcPr>
          <w:p w:rsidR="7628B980" w:rsidRDefault="00B233BD" w:rsidP="02819F87">
            <w:pPr>
              <w:spacing w:line="259" w:lineRule="auto"/>
              <w:jc w:val="center"/>
              <w:rPr>
                <w:rFonts w:eastAsiaTheme="minorEastAsia"/>
                <w:color w:val="000000" w:themeColor="text1"/>
                <w:lang w:val="en-GB"/>
              </w:rPr>
            </w:pPr>
            <w:r>
              <w:rPr>
                <w:rFonts w:ascii="Arial" w:eastAsiaTheme="minorEastAsia" w:hAnsi="Arial" w:cs="Arial"/>
                <w:color w:val="000000" w:themeColor="text1"/>
                <w:lang w:val="en-GB"/>
              </w:rPr>
              <w:t>√</w:t>
            </w:r>
          </w:p>
        </w:tc>
      </w:tr>
      <w:tr w:rsidR="7628B980" w:rsidTr="02819F87">
        <w:trPr>
          <w:trHeight w:val="300"/>
        </w:trPr>
        <w:tc>
          <w:tcPr>
            <w:tcW w:w="7873" w:type="dxa"/>
            <w:gridSpan w:val="2"/>
          </w:tcPr>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I agree to the case study being published by RSPH and WHO collaborating centre if approved and to it being shared with 3</w:t>
            </w:r>
            <w:r w:rsidRPr="02819F87">
              <w:rPr>
                <w:rFonts w:eastAsiaTheme="minorEastAsia"/>
                <w:color w:val="000000" w:themeColor="text1"/>
                <w:vertAlign w:val="superscript"/>
                <w:lang w:val="en-GB"/>
              </w:rPr>
              <w:t>rd</w:t>
            </w:r>
            <w:r w:rsidRPr="02819F87">
              <w:rPr>
                <w:rFonts w:eastAsiaTheme="minorEastAsia"/>
                <w:color w:val="000000" w:themeColor="text1"/>
                <w:lang w:val="en-GB"/>
              </w:rPr>
              <w:t xml:space="preserve"> parties</w:t>
            </w:r>
          </w:p>
        </w:tc>
        <w:tc>
          <w:tcPr>
            <w:tcW w:w="1487" w:type="dxa"/>
            <w:vAlign w:val="center"/>
          </w:tcPr>
          <w:p w:rsidR="7628B980" w:rsidRDefault="00B233BD" w:rsidP="02819F87">
            <w:pPr>
              <w:spacing w:line="259" w:lineRule="auto"/>
              <w:jc w:val="center"/>
              <w:rPr>
                <w:rFonts w:eastAsiaTheme="minorEastAsia"/>
                <w:color w:val="000000" w:themeColor="text1"/>
                <w:lang w:val="en-GB"/>
              </w:rPr>
            </w:pPr>
            <w:r>
              <w:rPr>
                <w:rFonts w:ascii="Arial" w:eastAsiaTheme="minorEastAsia" w:hAnsi="Arial" w:cs="Arial"/>
                <w:color w:val="000000" w:themeColor="text1"/>
                <w:lang w:val="en-GB"/>
              </w:rPr>
              <w:t>√</w:t>
            </w:r>
          </w:p>
        </w:tc>
      </w:tr>
      <w:tr w:rsidR="7628B980" w:rsidTr="02819F87">
        <w:trPr>
          <w:trHeight w:val="300"/>
        </w:trPr>
        <w:tc>
          <w:tcPr>
            <w:tcW w:w="7873" w:type="dxa"/>
            <w:gridSpan w:val="2"/>
          </w:tcPr>
          <w:p w:rsidR="7628B980" w:rsidRDefault="2CB123D4" w:rsidP="02819F87">
            <w:pPr>
              <w:spacing w:line="259" w:lineRule="auto"/>
              <w:rPr>
                <w:rFonts w:eastAsiaTheme="minorEastAsia"/>
                <w:color w:val="000000" w:themeColor="text1"/>
              </w:rPr>
            </w:pPr>
            <w:r w:rsidRPr="02819F87">
              <w:rPr>
                <w:rFonts w:eastAsiaTheme="minorEastAsia"/>
                <w:color w:val="000000" w:themeColor="text1"/>
                <w:lang w:val="en-GB"/>
              </w:rPr>
              <w:t>I give permission for my contact details (name, organisation and email address) to be published with the case study if approved for publication on the RSPH hub and WHO collaborating centre to enable interested parties to make contact for further information about the case study</w:t>
            </w:r>
          </w:p>
        </w:tc>
        <w:tc>
          <w:tcPr>
            <w:tcW w:w="1487" w:type="dxa"/>
            <w:vAlign w:val="center"/>
          </w:tcPr>
          <w:p w:rsidR="7628B980" w:rsidRDefault="00B233BD" w:rsidP="02819F87">
            <w:pPr>
              <w:spacing w:line="259" w:lineRule="auto"/>
              <w:jc w:val="center"/>
              <w:rPr>
                <w:rFonts w:eastAsiaTheme="minorEastAsia"/>
                <w:color w:val="000000" w:themeColor="text1"/>
                <w:lang w:val="en-GB"/>
              </w:rPr>
            </w:pPr>
            <w:r>
              <w:rPr>
                <w:rFonts w:ascii="Arial" w:eastAsiaTheme="minorEastAsia" w:hAnsi="Arial" w:cs="Arial"/>
                <w:color w:val="000000" w:themeColor="text1"/>
                <w:lang w:val="en-GB"/>
              </w:rPr>
              <w:t>√</w:t>
            </w:r>
          </w:p>
        </w:tc>
      </w:tr>
    </w:tbl>
    <w:p w:rsidR="7628B980" w:rsidRDefault="7628B980" w:rsidP="02819F87">
      <w:pPr>
        <w:rPr>
          <w:rFonts w:eastAsiaTheme="minorEastAsia"/>
        </w:rPr>
      </w:pPr>
    </w:p>
    <w:p w:rsidR="22FF6753" w:rsidRDefault="22FF6753" w:rsidP="7FFB4009">
      <w:pPr>
        <w:rPr>
          <w:rFonts w:eastAsiaTheme="minorEastAsia"/>
        </w:rPr>
      </w:pPr>
      <w:r w:rsidRPr="7FFB4009">
        <w:rPr>
          <w:rFonts w:eastAsiaTheme="minorEastAsia"/>
          <w:b/>
          <w:bCs/>
        </w:rPr>
        <w:t xml:space="preserve">Theme: </w:t>
      </w:r>
      <w:r w:rsidRPr="7FFB4009">
        <w:rPr>
          <w:rFonts w:eastAsiaTheme="minorEastAsia"/>
        </w:rPr>
        <w:t xml:space="preserve">Which area of public health does your case study relate to (please tick appropriate box)? </w:t>
      </w:r>
    </w:p>
    <w:tbl>
      <w:tblPr>
        <w:tblStyle w:val="TableGrid"/>
        <w:tblW w:w="0" w:type="auto"/>
        <w:tblLook w:val="06A0" w:firstRow="1" w:lastRow="0" w:firstColumn="1" w:lastColumn="0" w:noHBand="1" w:noVBand="1"/>
      </w:tblPr>
      <w:tblGrid>
        <w:gridCol w:w="7906"/>
        <w:gridCol w:w="1438"/>
      </w:tblGrid>
      <w:tr w:rsidR="7FFB4009" w:rsidTr="7FFB4009">
        <w:trPr>
          <w:trHeight w:val="555"/>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color w:val="000000" w:themeColor="text1"/>
              </w:rPr>
            </w:pPr>
            <w:r w:rsidRPr="7FFB4009">
              <w:rPr>
                <w:rFonts w:eastAsiaTheme="minorEastAsia"/>
                <w:color w:val="000000" w:themeColor="text1"/>
              </w:rPr>
              <w:t>Wider determinants – also known as social determinants, are a diverse range of social, economic and environmental factors which impact on people's health and wellbeing. Addressing the wider determinants of health and wellbeing has a key role to play in reducing health inequalities.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rPr>
            </w:pPr>
            <w:r>
              <w:br/>
            </w:r>
          </w:p>
        </w:tc>
      </w:tr>
      <w:tr w:rsidR="7FFB4009" w:rsidTr="7FFB4009">
        <w:trPr>
          <w:trHeight w:val="360"/>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color w:val="000000" w:themeColor="text1"/>
              </w:rPr>
            </w:pPr>
            <w:r w:rsidRPr="7FFB4009">
              <w:rPr>
                <w:rFonts w:eastAsiaTheme="minorEastAsia"/>
                <w:color w:val="000000" w:themeColor="text1"/>
              </w:rPr>
              <w:t>Health Improvement – describes the work to improve the health and mental wellbeing of individuals, communities or populations through enabling and encouraging healthy lifestyle choices and developing resilience.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00943E2B">
            <w:pPr>
              <w:jc w:val="center"/>
              <w:rPr>
                <w:rFonts w:eastAsiaTheme="minorEastAsia"/>
              </w:rPr>
            </w:pPr>
            <w:r>
              <w:br/>
            </w:r>
            <w:r w:rsidR="00943E2B">
              <w:rPr>
                <w:rFonts w:ascii="Arial" w:eastAsiaTheme="minorEastAsia" w:hAnsi="Arial" w:cs="Arial"/>
                <w:color w:val="000000" w:themeColor="text1"/>
                <w:lang w:val="en-GB"/>
              </w:rPr>
              <w:t>√</w:t>
            </w:r>
          </w:p>
        </w:tc>
      </w:tr>
      <w:tr w:rsidR="7FFB4009" w:rsidTr="7FFB4009">
        <w:trPr>
          <w:trHeight w:val="345"/>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color w:val="000000" w:themeColor="text1"/>
              </w:rPr>
            </w:pPr>
            <w:r w:rsidRPr="7FFB4009">
              <w:rPr>
                <w:rFonts w:eastAsiaTheme="minorEastAsia"/>
                <w:color w:val="000000" w:themeColor="text1"/>
              </w:rPr>
              <w:t xml:space="preserve">Population healthcare – aims to </w:t>
            </w:r>
            <w:proofErr w:type="spellStart"/>
            <w:r w:rsidRPr="7FFB4009">
              <w:rPr>
                <w:rFonts w:eastAsiaTheme="minorEastAsia"/>
                <w:color w:val="000000" w:themeColor="text1"/>
              </w:rPr>
              <w:t>maximise</w:t>
            </w:r>
            <w:proofErr w:type="spellEnd"/>
            <w:r w:rsidRPr="7FFB4009">
              <w:rPr>
                <w:rFonts w:eastAsiaTheme="minorEastAsia"/>
                <w:color w:val="000000" w:themeColor="text1"/>
              </w:rPr>
              <w:t xml:space="preserve"> value, equity and good outcomes by focusing on the needs of the population and delivering person </w:t>
            </w:r>
            <w:proofErr w:type="spellStart"/>
            <w:r w:rsidRPr="7FFB4009">
              <w:rPr>
                <w:rFonts w:eastAsiaTheme="minorEastAsia"/>
                <w:color w:val="000000" w:themeColor="text1"/>
              </w:rPr>
              <w:t>centred</w:t>
            </w:r>
            <w:proofErr w:type="spellEnd"/>
            <w:r w:rsidRPr="7FFB4009">
              <w:rPr>
                <w:rFonts w:eastAsiaTheme="minorEastAsia"/>
                <w:color w:val="000000" w:themeColor="text1"/>
              </w:rPr>
              <w:t xml:space="preserve"> services across the entire health and care system.</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00943E2B">
            <w:pPr>
              <w:jc w:val="center"/>
              <w:rPr>
                <w:rFonts w:eastAsiaTheme="minorEastAsia"/>
              </w:rPr>
            </w:pPr>
            <w:r>
              <w:br/>
            </w:r>
            <w:r w:rsidR="00943E2B">
              <w:rPr>
                <w:rFonts w:ascii="Arial" w:eastAsiaTheme="minorEastAsia" w:hAnsi="Arial" w:cs="Arial"/>
                <w:color w:val="000000" w:themeColor="text1"/>
                <w:lang w:val="en-GB"/>
              </w:rPr>
              <w:t>√</w:t>
            </w:r>
          </w:p>
        </w:tc>
      </w:tr>
      <w:tr w:rsidR="7FFB4009" w:rsidTr="7FFB4009">
        <w:trPr>
          <w:trHeight w:val="360"/>
        </w:trPr>
        <w:tc>
          <w:tcPr>
            <w:tcW w:w="7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color w:val="000000" w:themeColor="text1"/>
              </w:rPr>
            </w:pPr>
            <w:r w:rsidRPr="7FFB4009">
              <w:rPr>
                <w:rFonts w:eastAsiaTheme="minorEastAsia"/>
                <w:color w:val="000000" w:themeColor="text1"/>
              </w:rPr>
              <w:t xml:space="preserve">Health Protection – aims to protect the population’s health from communicable diseases and other threats, while reducing health inequalities.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FFB4009" w:rsidRDefault="7FFB4009" w:rsidP="7FFB4009">
            <w:pPr>
              <w:rPr>
                <w:rFonts w:eastAsiaTheme="minorEastAsia"/>
              </w:rPr>
            </w:pPr>
            <w:r>
              <w:br/>
            </w:r>
          </w:p>
        </w:tc>
      </w:tr>
    </w:tbl>
    <w:p w:rsidR="7FFB4009" w:rsidRDefault="7FFB4009" w:rsidP="7FFB4009">
      <w:pPr>
        <w:rPr>
          <w:rFonts w:eastAsiaTheme="minorEastAsia"/>
        </w:rPr>
      </w:pPr>
    </w:p>
    <w:p w:rsidR="1800BF83" w:rsidRDefault="49441F6E" w:rsidP="7FFB4009">
      <w:pPr>
        <w:rPr>
          <w:rFonts w:eastAsiaTheme="minorEastAsia"/>
          <w:b/>
          <w:bCs/>
        </w:rPr>
      </w:pPr>
      <w:r w:rsidRPr="7FFB4009">
        <w:rPr>
          <w:rFonts w:eastAsiaTheme="minorEastAsia"/>
          <w:b/>
          <w:bCs/>
        </w:rPr>
        <w:t xml:space="preserve">Guidelines for </w:t>
      </w:r>
      <w:r w:rsidR="2F190066" w:rsidRPr="7FFB4009">
        <w:rPr>
          <w:rFonts w:eastAsiaTheme="minorEastAsia"/>
          <w:b/>
          <w:bCs/>
        </w:rPr>
        <w:t xml:space="preserve">using the </w:t>
      </w:r>
      <w:r w:rsidRPr="7FFB4009">
        <w:rPr>
          <w:rFonts w:eastAsiaTheme="minorEastAsia"/>
          <w:b/>
          <w:bCs/>
        </w:rPr>
        <w:t xml:space="preserve">case study </w:t>
      </w:r>
      <w:r w:rsidR="04558B9D" w:rsidRPr="7FFB4009">
        <w:rPr>
          <w:rFonts w:eastAsiaTheme="minorEastAsia"/>
          <w:b/>
          <w:bCs/>
        </w:rPr>
        <w:t xml:space="preserve">template: </w:t>
      </w:r>
    </w:p>
    <w:p w:rsidR="7170CDD9" w:rsidRDefault="200BD275" w:rsidP="7FFB4009">
      <w:pPr>
        <w:rPr>
          <w:rFonts w:eastAsiaTheme="minorEastAsia"/>
        </w:rPr>
      </w:pPr>
      <w:r w:rsidRPr="7FFB4009">
        <w:rPr>
          <w:rFonts w:eastAsiaTheme="minorEastAsia"/>
        </w:rPr>
        <w:t>Please use the case study</w:t>
      </w:r>
      <w:r w:rsidR="597FFD19" w:rsidRPr="7FFB4009">
        <w:rPr>
          <w:rFonts w:eastAsiaTheme="minorEastAsia"/>
        </w:rPr>
        <w:t xml:space="preserve"> template</w:t>
      </w:r>
      <w:r w:rsidR="3FBB4F4A" w:rsidRPr="7FFB4009">
        <w:rPr>
          <w:rFonts w:eastAsiaTheme="minorEastAsia"/>
        </w:rPr>
        <w:t xml:space="preserve"> below</w:t>
      </w:r>
      <w:r w:rsidR="3708E8CC" w:rsidRPr="7FFB4009">
        <w:rPr>
          <w:rFonts w:eastAsiaTheme="minorEastAsia"/>
        </w:rPr>
        <w:t xml:space="preserve"> to write your case study. </w:t>
      </w:r>
      <w:r w:rsidR="7EA17924" w:rsidRPr="7FFB4009">
        <w:rPr>
          <w:rFonts w:eastAsiaTheme="minorEastAsia"/>
        </w:rPr>
        <w:t>See the case stud</w:t>
      </w:r>
      <w:r w:rsidR="6CBB8975" w:rsidRPr="7FFB4009">
        <w:rPr>
          <w:rFonts w:eastAsiaTheme="minorEastAsia"/>
        </w:rPr>
        <w:t>ies</w:t>
      </w:r>
      <w:r w:rsidR="7EA17924" w:rsidRPr="7FFB4009">
        <w:rPr>
          <w:rFonts w:eastAsiaTheme="minorEastAsia"/>
        </w:rPr>
        <w:t xml:space="preserve"> webpage for a helpful video with further advice.</w:t>
      </w:r>
    </w:p>
    <w:p w:rsidR="7170CDD9" w:rsidRDefault="3708E8CC" w:rsidP="02819F87">
      <w:pPr>
        <w:rPr>
          <w:rFonts w:eastAsiaTheme="minorEastAsia"/>
        </w:rPr>
      </w:pPr>
      <w:r w:rsidRPr="7FFB4009">
        <w:rPr>
          <w:rFonts w:eastAsiaTheme="minorEastAsia"/>
        </w:rPr>
        <w:t>If you are writing directly into the table p</w:t>
      </w:r>
      <w:r w:rsidR="597FFD19" w:rsidRPr="7FFB4009">
        <w:rPr>
          <w:rFonts w:eastAsiaTheme="minorEastAsia"/>
        </w:rPr>
        <w:t xml:space="preserve">lease </w:t>
      </w:r>
      <w:r w:rsidR="4FFFD752" w:rsidRPr="7FFB4009">
        <w:rPr>
          <w:rFonts w:eastAsiaTheme="minorEastAsia"/>
        </w:rPr>
        <w:t>remove</w:t>
      </w:r>
      <w:r w:rsidR="597FFD19" w:rsidRPr="7FFB4009">
        <w:rPr>
          <w:rFonts w:eastAsiaTheme="minorEastAsia"/>
        </w:rPr>
        <w:t xml:space="preserve"> the questions and provide </w:t>
      </w:r>
      <w:r w:rsidR="1CFE0030" w:rsidRPr="7FFB4009">
        <w:rPr>
          <w:rFonts w:eastAsiaTheme="minorEastAsia"/>
        </w:rPr>
        <w:t xml:space="preserve">any </w:t>
      </w:r>
      <w:r w:rsidR="597FFD19" w:rsidRPr="7FFB4009">
        <w:rPr>
          <w:rFonts w:eastAsiaTheme="minorEastAsia"/>
        </w:rPr>
        <w:t>subtitles</w:t>
      </w:r>
      <w:r w:rsidR="5D56E630" w:rsidRPr="7FFB4009">
        <w:rPr>
          <w:rFonts w:eastAsiaTheme="minorEastAsia"/>
        </w:rPr>
        <w:t xml:space="preserve"> </w:t>
      </w:r>
      <w:r w:rsidR="0DECFF2C" w:rsidRPr="7FFB4009">
        <w:rPr>
          <w:rFonts w:eastAsiaTheme="minorEastAsia"/>
        </w:rPr>
        <w:t>as needed</w:t>
      </w:r>
      <w:r w:rsidR="63F47CA4" w:rsidRPr="7FFB4009">
        <w:rPr>
          <w:rFonts w:eastAsiaTheme="minorEastAsia"/>
        </w:rPr>
        <w:t xml:space="preserve">. The </w:t>
      </w:r>
      <w:r w:rsidR="4162E573" w:rsidRPr="7FFB4009">
        <w:rPr>
          <w:rFonts w:eastAsiaTheme="minorEastAsia"/>
        </w:rPr>
        <w:t>main</w:t>
      </w:r>
      <w:r w:rsidR="63F47CA4" w:rsidRPr="7FFB4009">
        <w:rPr>
          <w:rFonts w:eastAsiaTheme="minorEastAsia"/>
        </w:rPr>
        <w:t xml:space="preserve"> headings</w:t>
      </w:r>
      <w:r w:rsidR="075ECD39" w:rsidRPr="7FFB4009">
        <w:rPr>
          <w:rFonts w:eastAsiaTheme="minorEastAsia"/>
        </w:rPr>
        <w:t xml:space="preserve"> after your title</w:t>
      </w:r>
      <w:r w:rsidR="63F47CA4" w:rsidRPr="7FFB4009">
        <w:rPr>
          <w:rFonts w:eastAsiaTheme="minorEastAsia"/>
        </w:rPr>
        <w:t xml:space="preserve"> should be: </w:t>
      </w:r>
    </w:p>
    <w:p w:rsidR="04897212" w:rsidRDefault="14301EA8" w:rsidP="7628B980">
      <w:pPr>
        <w:pStyle w:val="ListParagraph"/>
        <w:numPr>
          <w:ilvl w:val="0"/>
          <w:numId w:val="6"/>
        </w:numPr>
        <w:rPr>
          <w:rFonts w:eastAsiaTheme="minorEastAsia"/>
        </w:rPr>
      </w:pPr>
      <w:r w:rsidRPr="02819F87">
        <w:rPr>
          <w:rFonts w:eastAsiaTheme="minorEastAsia"/>
        </w:rPr>
        <w:t>D</w:t>
      </w:r>
      <w:r w:rsidR="63F47CA4" w:rsidRPr="02819F87">
        <w:rPr>
          <w:rFonts w:eastAsiaTheme="minorEastAsia"/>
        </w:rPr>
        <w:t>escriptio</w:t>
      </w:r>
      <w:r w:rsidRPr="02819F87">
        <w:rPr>
          <w:rFonts w:eastAsiaTheme="minorEastAsia"/>
        </w:rPr>
        <w:t>n</w:t>
      </w:r>
    </w:p>
    <w:p w:rsidR="5615BC5D" w:rsidRDefault="32869F9F" w:rsidP="02819F87">
      <w:pPr>
        <w:pStyle w:val="ListParagraph"/>
        <w:numPr>
          <w:ilvl w:val="0"/>
          <w:numId w:val="6"/>
        </w:numPr>
        <w:rPr>
          <w:rFonts w:eastAsiaTheme="minorEastAsia"/>
        </w:rPr>
      </w:pPr>
      <w:r w:rsidRPr="02819F87">
        <w:rPr>
          <w:rFonts w:eastAsiaTheme="minorEastAsia"/>
        </w:rPr>
        <w:t>I</w:t>
      </w:r>
      <w:r w:rsidR="5D56E630" w:rsidRPr="02819F87">
        <w:rPr>
          <w:rFonts w:eastAsiaTheme="minorEastAsia"/>
        </w:rPr>
        <w:t>ntroduction</w:t>
      </w:r>
    </w:p>
    <w:p w:rsidR="7E40C204" w:rsidRDefault="2A7B98DA" w:rsidP="02819F87">
      <w:pPr>
        <w:pStyle w:val="ListParagraph"/>
        <w:numPr>
          <w:ilvl w:val="0"/>
          <w:numId w:val="6"/>
        </w:numPr>
        <w:rPr>
          <w:rFonts w:eastAsiaTheme="minorEastAsia"/>
        </w:rPr>
      </w:pPr>
      <w:r w:rsidRPr="02819F87">
        <w:rPr>
          <w:rFonts w:eastAsiaTheme="minorEastAsia"/>
        </w:rPr>
        <w:t>M</w:t>
      </w:r>
      <w:r w:rsidR="5D56E630" w:rsidRPr="02819F87">
        <w:rPr>
          <w:rFonts w:eastAsiaTheme="minorEastAsia"/>
        </w:rPr>
        <w:t>ethods</w:t>
      </w:r>
    </w:p>
    <w:p w:rsidR="3ACEF90B" w:rsidRDefault="385ECB0E" w:rsidP="02819F87">
      <w:pPr>
        <w:pStyle w:val="ListParagraph"/>
        <w:numPr>
          <w:ilvl w:val="0"/>
          <w:numId w:val="6"/>
        </w:numPr>
        <w:rPr>
          <w:rFonts w:eastAsiaTheme="minorEastAsia"/>
        </w:rPr>
      </w:pPr>
      <w:r w:rsidRPr="02819F87">
        <w:rPr>
          <w:rFonts w:eastAsiaTheme="minorEastAsia"/>
        </w:rPr>
        <w:t>Ou</w:t>
      </w:r>
      <w:r w:rsidR="5D56E630" w:rsidRPr="02819F87">
        <w:rPr>
          <w:rFonts w:eastAsiaTheme="minorEastAsia"/>
        </w:rPr>
        <w:t>tcomes</w:t>
      </w:r>
    </w:p>
    <w:p w:rsidR="177D856A" w:rsidRDefault="07D54948" w:rsidP="02819F87">
      <w:pPr>
        <w:pStyle w:val="ListParagraph"/>
        <w:numPr>
          <w:ilvl w:val="0"/>
          <w:numId w:val="6"/>
        </w:numPr>
        <w:rPr>
          <w:rFonts w:eastAsiaTheme="minorEastAsia"/>
        </w:rPr>
      </w:pPr>
      <w:r w:rsidRPr="02819F87">
        <w:rPr>
          <w:rFonts w:eastAsiaTheme="minorEastAsia"/>
        </w:rPr>
        <w:t>K</w:t>
      </w:r>
      <w:r w:rsidR="300498D8" w:rsidRPr="02819F87">
        <w:rPr>
          <w:rFonts w:eastAsiaTheme="minorEastAsia"/>
        </w:rPr>
        <w:t>ey learning</w:t>
      </w:r>
      <w:r w:rsidR="10F72311" w:rsidRPr="02819F87">
        <w:rPr>
          <w:rFonts w:eastAsiaTheme="minorEastAsia"/>
        </w:rPr>
        <w:t xml:space="preserve"> points</w:t>
      </w:r>
      <w:r w:rsidR="300498D8" w:rsidRPr="02819F87">
        <w:rPr>
          <w:rFonts w:eastAsiaTheme="minorEastAsia"/>
        </w:rPr>
        <w:t xml:space="preserve"> </w:t>
      </w:r>
    </w:p>
    <w:p w:rsidR="2C389BF5" w:rsidRDefault="0A865B5E" w:rsidP="02819F87">
      <w:pPr>
        <w:pStyle w:val="ListParagraph"/>
        <w:numPr>
          <w:ilvl w:val="0"/>
          <w:numId w:val="6"/>
        </w:numPr>
        <w:rPr>
          <w:rFonts w:eastAsiaTheme="minorEastAsia"/>
        </w:rPr>
      </w:pPr>
      <w:r w:rsidRPr="02819F87">
        <w:rPr>
          <w:rFonts w:eastAsiaTheme="minorEastAsia"/>
        </w:rPr>
        <w:t>R</w:t>
      </w:r>
      <w:r w:rsidR="300498D8" w:rsidRPr="02819F87">
        <w:rPr>
          <w:rFonts w:eastAsiaTheme="minorEastAsia"/>
        </w:rPr>
        <w:t>eferences</w:t>
      </w:r>
    </w:p>
    <w:p w:rsidR="48A15C0B" w:rsidRDefault="597FFD19" w:rsidP="2F446853">
      <w:pPr>
        <w:rPr>
          <w:rFonts w:eastAsiaTheme="minorEastAsia"/>
        </w:rPr>
      </w:pPr>
      <w:r w:rsidRPr="2F446853">
        <w:rPr>
          <w:rFonts w:eastAsiaTheme="minorEastAsia"/>
        </w:rPr>
        <w:t xml:space="preserve">You should write in full complete sentences, in academic style (not as though you are answering </w:t>
      </w:r>
      <w:r w:rsidR="76AC88BD" w:rsidRPr="2F446853">
        <w:rPr>
          <w:rFonts w:eastAsiaTheme="minorEastAsia"/>
        </w:rPr>
        <w:t>the</w:t>
      </w:r>
      <w:r w:rsidRPr="2F446853">
        <w:rPr>
          <w:rFonts w:eastAsiaTheme="minorEastAsia"/>
        </w:rPr>
        <w:t xml:space="preserve"> question</w:t>
      </w:r>
      <w:r w:rsidR="350152C4" w:rsidRPr="2F446853">
        <w:rPr>
          <w:rFonts w:eastAsiaTheme="minorEastAsia"/>
        </w:rPr>
        <w:t>s</w:t>
      </w:r>
      <w:r w:rsidRPr="2F446853">
        <w:rPr>
          <w:rFonts w:eastAsiaTheme="minorEastAsia"/>
        </w:rPr>
        <w:t xml:space="preserve">). </w:t>
      </w:r>
      <w:r w:rsidR="429A1A65" w:rsidRPr="2F446853">
        <w:rPr>
          <w:rFonts w:eastAsiaTheme="minorEastAsia"/>
        </w:rPr>
        <w:t xml:space="preserve">Please try to avoid writing in the first person. </w:t>
      </w:r>
    </w:p>
    <w:p w:rsidR="48A15C0B" w:rsidRDefault="429A1A65" w:rsidP="28BAF1C6">
      <w:pPr>
        <w:rPr>
          <w:rFonts w:eastAsiaTheme="minorEastAsia"/>
        </w:rPr>
      </w:pPr>
      <w:r w:rsidRPr="2F446853">
        <w:rPr>
          <w:rFonts w:eastAsiaTheme="minorEastAsia"/>
        </w:rPr>
        <w:t>You should remove the template questions from your final version and include only the headers for each section so that your case study is in the correct format for publishing.</w:t>
      </w:r>
    </w:p>
    <w:p w:rsidR="2A3A5785" w:rsidRDefault="6DF652EF" w:rsidP="02819F87">
      <w:pPr>
        <w:rPr>
          <w:rFonts w:eastAsiaTheme="minorEastAsia"/>
        </w:rPr>
      </w:pPr>
      <w:r w:rsidRPr="02819F87">
        <w:rPr>
          <w:rFonts w:eastAsiaTheme="minorEastAsia"/>
        </w:rPr>
        <w:t>If including figures or images please ensure these are clear</w:t>
      </w:r>
      <w:r w:rsidR="1202F620" w:rsidRPr="02819F87">
        <w:rPr>
          <w:rFonts w:eastAsiaTheme="minorEastAsia"/>
        </w:rPr>
        <w:t xml:space="preserve">, labelled </w:t>
      </w:r>
      <w:r w:rsidRPr="02819F87">
        <w:rPr>
          <w:rFonts w:eastAsiaTheme="minorEastAsia"/>
        </w:rPr>
        <w:t xml:space="preserve">and that any text is large enough to be read on the page. </w:t>
      </w:r>
    </w:p>
    <w:p w:rsidR="45E311FE" w:rsidRDefault="2D9E6541" w:rsidP="02819F87">
      <w:pPr>
        <w:rPr>
          <w:rFonts w:eastAsiaTheme="minorEastAsia"/>
        </w:rPr>
      </w:pPr>
      <w:r w:rsidRPr="02819F87">
        <w:rPr>
          <w:rFonts w:eastAsiaTheme="minorEastAsia"/>
        </w:rPr>
        <w:t>Please pay attention to grammar and spelling. It is a good idea to ask someone to proof</w:t>
      </w:r>
      <w:r w:rsidR="63B8FDD7" w:rsidRPr="02819F87">
        <w:rPr>
          <w:rFonts w:eastAsiaTheme="minorEastAsia"/>
        </w:rPr>
        <w:t>-</w:t>
      </w:r>
      <w:r w:rsidRPr="02819F87">
        <w:rPr>
          <w:rFonts w:eastAsiaTheme="minorEastAsia"/>
        </w:rPr>
        <w:t xml:space="preserve">read your final submission. </w:t>
      </w:r>
    </w:p>
    <w:p w:rsidR="45E311FE" w:rsidRDefault="2D9E6541" w:rsidP="02819F87">
      <w:pPr>
        <w:rPr>
          <w:rFonts w:eastAsiaTheme="minorEastAsia"/>
        </w:rPr>
      </w:pPr>
      <w:r w:rsidRPr="0EF05B02">
        <w:rPr>
          <w:rFonts w:eastAsiaTheme="minorEastAsia"/>
        </w:rPr>
        <w:t xml:space="preserve">Any information relating to service users or </w:t>
      </w:r>
      <w:r w:rsidR="37B3CB67" w:rsidRPr="0EF05B02">
        <w:rPr>
          <w:rFonts w:eastAsiaTheme="minorEastAsia"/>
        </w:rPr>
        <w:t xml:space="preserve">any </w:t>
      </w:r>
      <w:r w:rsidRPr="0EF05B02">
        <w:rPr>
          <w:rFonts w:eastAsiaTheme="minorEastAsia"/>
        </w:rPr>
        <w:t xml:space="preserve">sensitive information </w:t>
      </w:r>
      <w:r w:rsidR="664E8548" w:rsidRPr="0EF05B02">
        <w:rPr>
          <w:rFonts w:eastAsiaTheme="minorEastAsia"/>
        </w:rPr>
        <w:t>must</w:t>
      </w:r>
      <w:r w:rsidRPr="0EF05B02">
        <w:rPr>
          <w:rFonts w:eastAsiaTheme="minorEastAsia"/>
        </w:rPr>
        <w:t xml:space="preserve"> be </w:t>
      </w:r>
      <w:proofErr w:type="spellStart"/>
      <w:r w:rsidRPr="0EF05B02">
        <w:rPr>
          <w:rFonts w:eastAsiaTheme="minorEastAsia"/>
        </w:rPr>
        <w:t>anonymi</w:t>
      </w:r>
      <w:r w:rsidR="20C782E4" w:rsidRPr="0EF05B02">
        <w:rPr>
          <w:rFonts w:eastAsiaTheme="minorEastAsia"/>
        </w:rPr>
        <w:t>s</w:t>
      </w:r>
      <w:r w:rsidRPr="0EF05B02">
        <w:rPr>
          <w:rFonts w:eastAsiaTheme="minorEastAsia"/>
        </w:rPr>
        <w:t>ed</w:t>
      </w:r>
      <w:proofErr w:type="spellEnd"/>
      <w:r w:rsidRPr="0EF05B02">
        <w:rPr>
          <w:rFonts w:eastAsiaTheme="minorEastAsia"/>
        </w:rPr>
        <w:t>, and you should make it clear in</w:t>
      </w:r>
      <w:r w:rsidR="5A84B857" w:rsidRPr="0EF05B02">
        <w:rPr>
          <w:rFonts w:eastAsiaTheme="minorEastAsia"/>
        </w:rPr>
        <w:t xml:space="preserve"> the</w:t>
      </w:r>
      <w:r w:rsidRPr="0EF05B02">
        <w:rPr>
          <w:rFonts w:eastAsiaTheme="minorEastAsia"/>
        </w:rPr>
        <w:t xml:space="preserve"> </w:t>
      </w:r>
      <w:r w:rsidR="201F64D1" w:rsidRPr="0EF05B02">
        <w:rPr>
          <w:rFonts w:eastAsiaTheme="minorEastAsia"/>
        </w:rPr>
        <w:t>submission</w:t>
      </w:r>
      <w:r w:rsidRPr="0EF05B02">
        <w:rPr>
          <w:rFonts w:eastAsiaTheme="minorEastAsia"/>
        </w:rPr>
        <w:t xml:space="preserve"> that you are not using real names. </w:t>
      </w:r>
      <w:r w:rsidR="13A72664" w:rsidRPr="0EF05B02">
        <w:rPr>
          <w:rFonts w:eastAsiaTheme="minorEastAsia"/>
        </w:rPr>
        <w:t>If you are using photos or pictures it is your responsibility to obtain permission from subjects beforehand for this information to be published</w:t>
      </w:r>
      <w:r w:rsidR="4FF5EF60" w:rsidRPr="0EF05B02">
        <w:rPr>
          <w:rFonts w:eastAsiaTheme="minorEastAsia"/>
        </w:rPr>
        <w:t xml:space="preserve">. </w:t>
      </w:r>
    </w:p>
    <w:p w:rsidR="0EF05B02" w:rsidRDefault="0EF05B02" w:rsidP="0EF05B02">
      <w:pPr>
        <w:rPr>
          <w:rFonts w:eastAsiaTheme="minorEastAsia"/>
        </w:rPr>
      </w:pPr>
    </w:p>
    <w:p w:rsidR="7628B980" w:rsidRDefault="7628B980" w:rsidP="02819F87">
      <w:pPr>
        <w:rPr>
          <w:rFonts w:eastAsiaTheme="minorEastAsia"/>
        </w:rPr>
      </w:pPr>
    </w:p>
    <w:p w:rsidR="785C7C4C" w:rsidRDefault="0400205E" w:rsidP="02819F87">
      <w:pPr>
        <w:rPr>
          <w:rFonts w:eastAsiaTheme="minorEastAsia"/>
          <w:b/>
          <w:bCs/>
        </w:rPr>
      </w:pPr>
      <w:r w:rsidRPr="7FFB4009">
        <w:rPr>
          <w:rFonts w:eastAsiaTheme="minorEastAsia"/>
          <w:b/>
          <w:bCs/>
        </w:rPr>
        <w:t>Case study template</w:t>
      </w:r>
      <w:r w:rsidR="7317E9E2" w:rsidRPr="7FFB4009">
        <w:rPr>
          <w:rFonts w:eastAsiaTheme="minorEastAsia"/>
          <w:b/>
          <w:bCs/>
        </w:rPr>
        <w:t xml:space="preserve">: </w:t>
      </w:r>
    </w:p>
    <w:tbl>
      <w:tblPr>
        <w:tblStyle w:val="TableGrid"/>
        <w:tblW w:w="0" w:type="auto"/>
        <w:tblLayout w:type="fixed"/>
        <w:tblLook w:val="06A0" w:firstRow="1" w:lastRow="0" w:firstColumn="1" w:lastColumn="0" w:noHBand="1" w:noVBand="1"/>
      </w:tblPr>
      <w:tblGrid>
        <w:gridCol w:w="2635"/>
        <w:gridCol w:w="6725"/>
      </w:tblGrid>
      <w:tr w:rsidR="7628B980" w:rsidTr="7FFB4009">
        <w:trPr>
          <w:trHeight w:val="615"/>
        </w:trPr>
        <w:tc>
          <w:tcPr>
            <w:tcW w:w="2635"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rsidR="7628B980" w:rsidRDefault="2CB123D4" w:rsidP="2F446853">
            <w:pPr>
              <w:rPr>
                <w:rFonts w:eastAsiaTheme="minorEastAsia"/>
                <w:b/>
                <w:bCs/>
                <w:color w:val="000000" w:themeColor="text1"/>
              </w:rPr>
            </w:pPr>
            <w:r w:rsidRPr="2F446853">
              <w:rPr>
                <w:rFonts w:eastAsiaTheme="minorEastAsia"/>
                <w:b/>
                <w:bCs/>
                <w:color w:val="000000" w:themeColor="text1"/>
              </w:rPr>
              <w:t>Title</w:t>
            </w:r>
          </w:p>
        </w:tc>
        <w:tc>
          <w:tcPr>
            <w:tcW w:w="6725"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rsidR="7628B980" w:rsidRDefault="00B233BD" w:rsidP="7FFB4009">
            <w:pPr>
              <w:rPr>
                <w:rFonts w:eastAsiaTheme="minorEastAsia"/>
                <w:color w:val="000000" w:themeColor="text1"/>
              </w:rPr>
            </w:pPr>
            <w:r>
              <w:rPr>
                <w:rFonts w:eastAsiaTheme="minorEastAsia"/>
                <w:color w:val="000000" w:themeColor="text1"/>
              </w:rPr>
              <w:t>Get Nourished, preventing malnutrition in older people</w:t>
            </w:r>
            <w:r w:rsidR="00943024">
              <w:rPr>
                <w:rFonts w:eastAsiaTheme="minorEastAsia"/>
                <w:color w:val="000000" w:themeColor="text1"/>
              </w:rPr>
              <w:t xml:space="preserve"> in Dundee</w:t>
            </w:r>
          </w:p>
        </w:tc>
      </w:tr>
      <w:tr w:rsidR="7628B980" w:rsidTr="7FFB4009">
        <w:trPr>
          <w:trHeight w:val="930"/>
        </w:trPr>
        <w:tc>
          <w:tcPr>
            <w:tcW w:w="2635"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rsidR="7628B980" w:rsidRDefault="2CB123D4" w:rsidP="2F446853">
            <w:pPr>
              <w:rPr>
                <w:rFonts w:eastAsiaTheme="minorEastAsia"/>
                <w:b/>
                <w:bCs/>
                <w:color w:val="000000" w:themeColor="text1"/>
              </w:rPr>
            </w:pPr>
            <w:r w:rsidRPr="2F446853">
              <w:rPr>
                <w:rFonts w:eastAsiaTheme="minorEastAsia"/>
                <w:b/>
                <w:bCs/>
                <w:color w:val="000000" w:themeColor="text1"/>
              </w:rPr>
              <w:t xml:space="preserve">Description </w:t>
            </w:r>
          </w:p>
          <w:p w:rsidR="7628B980" w:rsidRDefault="2CB123D4" w:rsidP="2F446853">
            <w:pPr>
              <w:rPr>
                <w:rFonts w:eastAsiaTheme="minorEastAsia"/>
                <w:b/>
                <w:bCs/>
                <w:color w:val="000000" w:themeColor="text1"/>
              </w:rPr>
            </w:pPr>
            <w:r w:rsidRPr="2F446853">
              <w:rPr>
                <w:rFonts w:eastAsiaTheme="minorEastAsia"/>
                <w:b/>
                <w:bCs/>
                <w:color w:val="000000" w:themeColor="text1"/>
              </w:rPr>
              <w:t>(</w:t>
            </w:r>
            <w:r w:rsidR="32E9E735" w:rsidRPr="2F446853">
              <w:rPr>
                <w:rFonts w:eastAsiaTheme="minorEastAsia"/>
                <w:b/>
                <w:bCs/>
                <w:color w:val="000000" w:themeColor="text1"/>
              </w:rPr>
              <w:t xml:space="preserve">200 </w:t>
            </w:r>
            <w:r w:rsidRPr="2F446853">
              <w:rPr>
                <w:rFonts w:eastAsiaTheme="minorEastAsia"/>
                <w:b/>
                <w:bCs/>
                <w:color w:val="000000" w:themeColor="text1"/>
              </w:rPr>
              <w:t>words)</w:t>
            </w:r>
          </w:p>
        </w:tc>
        <w:tc>
          <w:tcPr>
            <w:tcW w:w="6725"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rsidR="00B233BD" w:rsidRPr="00B233BD" w:rsidRDefault="00B233BD" w:rsidP="00B233BD">
            <w:pPr>
              <w:rPr>
                <w:rFonts w:eastAsiaTheme="minorEastAsia"/>
                <w:color w:val="000000" w:themeColor="text1"/>
              </w:rPr>
            </w:pPr>
            <w:r>
              <w:rPr>
                <w:rFonts w:eastAsiaTheme="minorEastAsia"/>
                <w:color w:val="000000" w:themeColor="text1"/>
              </w:rPr>
              <w:t>Th</w:t>
            </w:r>
            <w:r w:rsidR="00CA2083">
              <w:rPr>
                <w:rFonts w:eastAsiaTheme="minorEastAsia"/>
                <w:color w:val="000000" w:themeColor="text1"/>
              </w:rPr>
              <w:t>is</w:t>
            </w:r>
            <w:r>
              <w:rPr>
                <w:rFonts w:eastAsiaTheme="minorEastAsia"/>
                <w:color w:val="000000" w:themeColor="text1"/>
              </w:rPr>
              <w:t xml:space="preserve"> </w:t>
            </w:r>
            <w:r w:rsidR="00943E2B">
              <w:rPr>
                <w:rFonts w:eastAsiaTheme="minorEastAsia"/>
                <w:color w:val="000000" w:themeColor="text1"/>
              </w:rPr>
              <w:t>project</w:t>
            </w:r>
            <w:r>
              <w:rPr>
                <w:rFonts w:eastAsiaTheme="minorEastAsia"/>
                <w:color w:val="000000" w:themeColor="text1"/>
              </w:rPr>
              <w:t xml:space="preserve"> </w:t>
            </w:r>
            <w:r w:rsidR="00CA2083">
              <w:rPr>
                <w:rFonts w:eastAsiaTheme="minorEastAsia"/>
                <w:color w:val="000000" w:themeColor="text1"/>
              </w:rPr>
              <w:t xml:space="preserve">used five initiatives to improve the detection and management of malnutrition risk in older people in Dundee.  The project had started in </w:t>
            </w:r>
            <w:r w:rsidR="00583491">
              <w:rPr>
                <w:rFonts w:eastAsiaTheme="minorEastAsia"/>
                <w:color w:val="000000" w:themeColor="text1"/>
              </w:rPr>
              <w:t>2019</w:t>
            </w:r>
            <w:r w:rsidR="00CA2083">
              <w:rPr>
                <w:rFonts w:eastAsiaTheme="minorEastAsia"/>
                <w:color w:val="000000" w:themeColor="text1"/>
              </w:rPr>
              <w:t xml:space="preserve"> and it was predicted that the emergence of the COVID-19 pandemic would </w:t>
            </w:r>
            <w:r w:rsidR="00ED2944">
              <w:rPr>
                <w:rFonts w:eastAsiaTheme="minorEastAsia"/>
                <w:color w:val="000000" w:themeColor="text1"/>
              </w:rPr>
              <w:t xml:space="preserve">exacerbate nutritional risk in </w:t>
            </w:r>
            <w:r w:rsidR="00CA2083">
              <w:rPr>
                <w:rFonts w:eastAsiaTheme="minorEastAsia"/>
                <w:color w:val="000000" w:themeColor="text1"/>
              </w:rPr>
              <w:t xml:space="preserve">older people </w:t>
            </w:r>
            <w:r w:rsidR="00943E2B">
              <w:rPr>
                <w:rFonts w:eastAsiaTheme="minorEastAsia"/>
                <w:color w:val="000000" w:themeColor="text1"/>
              </w:rPr>
              <w:t>due to restricted access to shopping and a reduction in essential care and support.  Restrictions on face-to-face activities</w:t>
            </w:r>
            <w:r w:rsidR="00ED2944">
              <w:rPr>
                <w:rFonts w:eastAsiaTheme="minorEastAsia"/>
                <w:color w:val="000000" w:themeColor="text1"/>
              </w:rPr>
              <w:t xml:space="preserve"> required innovative ways of working and partnership with a number of organizations.  It has resulted in increased </w:t>
            </w:r>
            <w:r>
              <w:rPr>
                <w:rFonts w:eastAsiaTheme="minorEastAsia"/>
                <w:color w:val="000000" w:themeColor="text1"/>
              </w:rPr>
              <w:t xml:space="preserve">awareness </w:t>
            </w:r>
            <w:r w:rsidR="00CA2083">
              <w:rPr>
                <w:rFonts w:eastAsiaTheme="minorEastAsia"/>
                <w:color w:val="000000" w:themeColor="text1"/>
              </w:rPr>
              <w:t xml:space="preserve">and detection </w:t>
            </w:r>
            <w:r>
              <w:rPr>
                <w:rFonts w:eastAsiaTheme="minorEastAsia"/>
                <w:color w:val="000000" w:themeColor="text1"/>
              </w:rPr>
              <w:t>of malnutrition</w:t>
            </w:r>
            <w:r w:rsidR="00CA2083">
              <w:rPr>
                <w:rFonts w:eastAsiaTheme="minorEastAsia"/>
                <w:color w:val="000000" w:themeColor="text1"/>
              </w:rPr>
              <w:t xml:space="preserve"> risk, </w:t>
            </w:r>
            <w:r>
              <w:rPr>
                <w:rFonts w:eastAsiaTheme="minorEastAsia"/>
                <w:color w:val="000000" w:themeColor="text1"/>
              </w:rPr>
              <w:t>improve</w:t>
            </w:r>
            <w:r w:rsidR="00ED2944">
              <w:rPr>
                <w:rFonts w:eastAsiaTheme="minorEastAsia"/>
                <w:color w:val="000000" w:themeColor="text1"/>
              </w:rPr>
              <w:t>d</w:t>
            </w:r>
            <w:r>
              <w:rPr>
                <w:rFonts w:eastAsiaTheme="minorEastAsia"/>
                <w:color w:val="000000" w:themeColor="text1"/>
              </w:rPr>
              <w:t xml:space="preserve"> access to first line nutritional advice</w:t>
            </w:r>
            <w:r w:rsidR="00CA2083">
              <w:rPr>
                <w:rFonts w:eastAsiaTheme="minorEastAsia"/>
                <w:color w:val="000000" w:themeColor="text1"/>
              </w:rPr>
              <w:t xml:space="preserve">, </w:t>
            </w:r>
            <w:r w:rsidR="00ED2944">
              <w:rPr>
                <w:rFonts w:eastAsiaTheme="minorEastAsia"/>
                <w:color w:val="000000" w:themeColor="text1"/>
              </w:rPr>
              <w:t>improved</w:t>
            </w:r>
            <w:r w:rsidR="00CA2083">
              <w:rPr>
                <w:rFonts w:eastAsiaTheme="minorEastAsia"/>
                <w:color w:val="000000" w:themeColor="text1"/>
              </w:rPr>
              <w:t xml:space="preserve"> nutritional intake</w:t>
            </w:r>
            <w:r w:rsidR="00ED2944">
              <w:rPr>
                <w:rFonts w:eastAsiaTheme="minorEastAsia"/>
                <w:color w:val="000000" w:themeColor="text1"/>
              </w:rPr>
              <w:t xml:space="preserve">, reduced social isolation and delivery of accessible, consistent nutritional training.  </w:t>
            </w:r>
          </w:p>
          <w:p w:rsidR="7628B980" w:rsidRDefault="7628B980" w:rsidP="7FFB4009">
            <w:pPr>
              <w:rPr>
                <w:rFonts w:eastAsiaTheme="minorEastAsia"/>
                <w:color w:val="000000" w:themeColor="text1"/>
              </w:rPr>
            </w:pPr>
          </w:p>
        </w:tc>
      </w:tr>
      <w:tr w:rsidR="7628B980" w:rsidTr="7FFB4009">
        <w:trPr>
          <w:trHeight w:val="930"/>
        </w:trPr>
        <w:tc>
          <w:tcPr>
            <w:tcW w:w="2635" w:type="dxa"/>
            <w:shd w:val="clear" w:color="auto" w:fill="FFFFFF" w:themeFill="background1"/>
          </w:tcPr>
          <w:p w:rsidR="385464C1" w:rsidRDefault="5420FB35" w:rsidP="2F446853">
            <w:pPr>
              <w:rPr>
                <w:rFonts w:eastAsiaTheme="minorEastAsia"/>
                <w:b/>
                <w:bCs/>
                <w:color w:val="000000" w:themeColor="text1"/>
              </w:rPr>
            </w:pPr>
            <w:r w:rsidRPr="2F446853">
              <w:rPr>
                <w:rFonts w:eastAsiaTheme="minorEastAsia"/>
                <w:b/>
                <w:bCs/>
                <w:color w:val="000000" w:themeColor="text1"/>
              </w:rPr>
              <w:t xml:space="preserve">Introduction and context – what was the aim? </w:t>
            </w:r>
          </w:p>
          <w:p w:rsidR="385464C1" w:rsidRDefault="5420FB35" w:rsidP="2F446853">
            <w:pPr>
              <w:rPr>
                <w:rFonts w:eastAsiaTheme="minorEastAsia"/>
                <w:b/>
                <w:bCs/>
                <w:color w:val="000000" w:themeColor="text1"/>
              </w:rPr>
            </w:pPr>
            <w:r w:rsidRPr="2F446853">
              <w:rPr>
                <w:rFonts w:eastAsiaTheme="minorEastAsia"/>
                <w:b/>
                <w:bCs/>
                <w:color w:val="000000" w:themeColor="text1"/>
              </w:rPr>
              <w:t>(</w:t>
            </w:r>
            <w:r w:rsidR="3B057F50" w:rsidRPr="2F446853">
              <w:rPr>
                <w:rFonts w:eastAsiaTheme="minorEastAsia"/>
                <w:b/>
                <w:bCs/>
                <w:color w:val="000000" w:themeColor="text1"/>
              </w:rPr>
              <w:t>300</w:t>
            </w:r>
            <w:r w:rsidRPr="2F446853">
              <w:rPr>
                <w:rFonts w:eastAsiaTheme="minorEastAsia"/>
                <w:b/>
                <w:bCs/>
                <w:color w:val="000000" w:themeColor="text1"/>
              </w:rPr>
              <w:t xml:space="preserve"> words)</w:t>
            </w:r>
          </w:p>
          <w:p w:rsidR="7628B980" w:rsidRDefault="7628B980" w:rsidP="2F446853">
            <w:pPr>
              <w:rPr>
                <w:rFonts w:eastAsiaTheme="minorEastAsia"/>
                <w:b/>
                <w:bCs/>
                <w:color w:val="000000" w:themeColor="text1"/>
              </w:rPr>
            </w:pPr>
          </w:p>
        </w:tc>
        <w:tc>
          <w:tcPr>
            <w:tcW w:w="6725" w:type="dxa"/>
            <w:shd w:val="clear" w:color="auto" w:fill="FFFFFF" w:themeFill="background1"/>
          </w:tcPr>
          <w:p w:rsidR="00B233BD" w:rsidRDefault="00B233BD" w:rsidP="00B233BD">
            <w:pPr>
              <w:rPr>
                <w:color w:val="000000" w:themeColor="text1"/>
              </w:rPr>
            </w:pPr>
            <w:r>
              <w:rPr>
                <w:color w:val="000000" w:themeColor="text1"/>
              </w:rPr>
              <w:t xml:space="preserve">It is estimated that one in ten people over the age of 65 are malnourished or at risk of malnutrition.  Research has shown that malnutrition is often overlooked and that providing timely first line </w:t>
            </w:r>
            <w:r w:rsidR="004F13E2">
              <w:rPr>
                <w:color w:val="000000" w:themeColor="text1"/>
              </w:rPr>
              <w:t xml:space="preserve">nutritional </w:t>
            </w:r>
            <w:r>
              <w:rPr>
                <w:color w:val="000000" w:themeColor="text1"/>
              </w:rPr>
              <w:t>advice can prevent further disease as well as protect people from falls and frailty and improve recovery time following illness</w:t>
            </w:r>
            <w:r w:rsidR="00943E2B" w:rsidRPr="00943E2B">
              <w:rPr>
                <w:color w:val="000000" w:themeColor="text1"/>
                <w:vertAlign w:val="superscript"/>
              </w:rPr>
              <w:t>1</w:t>
            </w:r>
            <w:r>
              <w:rPr>
                <w:color w:val="000000" w:themeColor="text1"/>
              </w:rPr>
              <w:t>.</w:t>
            </w:r>
          </w:p>
          <w:p w:rsidR="00B233BD" w:rsidRDefault="00B233BD" w:rsidP="00B233BD">
            <w:pPr>
              <w:rPr>
                <w:color w:val="000000" w:themeColor="text1"/>
              </w:rPr>
            </w:pPr>
          </w:p>
          <w:p w:rsidR="00B233BD" w:rsidRDefault="00B233BD" w:rsidP="00B233BD">
            <w:pPr>
              <w:rPr>
                <w:color w:val="000000" w:themeColor="text1"/>
              </w:rPr>
            </w:pPr>
            <w:r>
              <w:rPr>
                <w:color w:val="000000" w:themeColor="text1"/>
              </w:rPr>
              <w:t>It was predicted that the COVID-19 pandemic would increase this risk, and that those under age 65 with existing medical conditions and/or recovering from COVID-19 would also be at risk</w:t>
            </w:r>
            <w:r w:rsidR="00943E2B" w:rsidRPr="00943E2B">
              <w:rPr>
                <w:color w:val="000000" w:themeColor="text1"/>
                <w:vertAlign w:val="superscript"/>
              </w:rPr>
              <w:t>2,3</w:t>
            </w:r>
            <w:r>
              <w:rPr>
                <w:color w:val="000000" w:themeColor="text1"/>
              </w:rPr>
              <w:t>.</w:t>
            </w:r>
          </w:p>
          <w:p w:rsidR="00B233BD" w:rsidRDefault="00B233BD" w:rsidP="00B233BD">
            <w:pPr>
              <w:rPr>
                <w:color w:val="000000" w:themeColor="text1"/>
              </w:rPr>
            </w:pPr>
          </w:p>
          <w:p w:rsidR="00B233BD" w:rsidRDefault="00B233BD" w:rsidP="00B233BD">
            <w:pPr>
              <w:rPr>
                <w:color w:val="000000" w:themeColor="text1"/>
              </w:rPr>
            </w:pPr>
            <w:r>
              <w:rPr>
                <w:color w:val="000000" w:themeColor="text1"/>
              </w:rPr>
              <w:t xml:space="preserve">The aim of this project was to provide first line advice to the public, </w:t>
            </w:r>
            <w:proofErr w:type="spellStart"/>
            <w:r>
              <w:rPr>
                <w:color w:val="000000" w:themeColor="text1"/>
              </w:rPr>
              <w:t>carers</w:t>
            </w:r>
            <w:proofErr w:type="spellEnd"/>
            <w:r>
              <w:rPr>
                <w:color w:val="000000" w:themeColor="text1"/>
              </w:rPr>
              <w:t>, staff and family members who are concerned about themselves or someone they support who had recent unexplained weight loss, poor appetite and was at risk of becoming undernourished.  The project consisted of f</w:t>
            </w:r>
            <w:r w:rsidR="00CA2083">
              <w:rPr>
                <w:color w:val="000000" w:themeColor="text1"/>
              </w:rPr>
              <w:t>ive</w:t>
            </w:r>
            <w:r>
              <w:rPr>
                <w:color w:val="000000" w:themeColor="text1"/>
              </w:rPr>
              <w:t xml:space="preserve"> initiatives:</w:t>
            </w:r>
          </w:p>
          <w:p w:rsidR="00B233BD" w:rsidRDefault="00B233BD" w:rsidP="00B233BD">
            <w:pPr>
              <w:rPr>
                <w:color w:val="000000" w:themeColor="text1"/>
              </w:rPr>
            </w:pPr>
          </w:p>
          <w:p w:rsidR="00CA2083" w:rsidRDefault="00CA2083" w:rsidP="00B233BD">
            <w:pPr>
              <w:pStyle w:val="ListParagraph"/>
              <w:numPr>
                <w:ilvl w:val="0"/>
                <w:numId w:val="7"/>
              </w:numPr>
              <w:rPr>
                <w:color w:val="000000" w:themeColor="text1"/>
              </w:rPr>
            </w:pPr>
            <w:r>
              <w:rPr>
                <w:color w:val="000000" w:themeColor="text1"/>
              </w:rPr>
              <w:t xml:space="preserve">Increased awareness and detection of malnutrition risk through use of the </w:t>
            </w:r>
            <w:hyperlink r:id="rId5" w:history="1">
              <w:r w:rsidRPr="00583491">
                <w:rPr>
                  <w:rStyle w:val="Hyperlink"/>
                </w:rPr>
                <w:t>Patients Association Nutrition Checklist</w:t>
              </w:r>
            </w:hyperlink>
            <w:r>
              <w:rPr>
                <w:color w:val="000000" w:themeColor="text1"/>
              </w:rPr>
              <w:t xml:space="preserve"> </w:t>
            </w:r>
          </w:p>
          <w:p w:rsidR="00B233BD" w:rsidRDefault="00B233BD" w:rsidP="00B233BD">
            <w:pPr>
              <w:pStyle w:val="ListParagraph"/>
              <w:numPr>
                <w:ilvl w:val="0"/>
                <w:numId w:val="7"/>
              </w:numPr>
              <w:rPr>
                <w:color w:val="000000" w:themeColor="text1"/>
              </w:rPr>
            </w:pPr>
            <w:r>
              <w:rPr>
                <w:color w:val="000000" w:themeColor="text1"/>
              </w:rPr>
              <w:t>The Get Nourished Advice Line was set up to provide first line nutrition advice and direct dietetic referral where required</w:t>
            </w:r>
          </w:p>
          <w:p w:rsidR="00B233BD" w:rsidRDefault="00B233BD" w:rsidP="00B233BD">
            <w:pPr>
              <w:pStyle w:val="ListParagraph"/>
              <w:numPr>
                <w:ilvl w:val="0"/>
                <w:numId w:val="7"/>
              </w:numPr>
              <w:rPr>
                <w:color w:val="000000" w:themeColor="text1"/>
              </w:rPr>
            </w:pPr>
            <w:r>
              <w:rPr>
                <w:color w:val="000000" w:themeColor="text1"/>
              </w:rPr>
              <w:t>Boost Boxes containing 14 snacks per week were delivered to people with a poor appetite for up to three weeks</w:t>
            </w:r>
          </w:p>
          <w:p w:rsidR="00B233BD" w:rsidRDefault="00B233BD" w:rsidP="00B233BD">
            <w:pPr>
              <w:pStyle w:val="ListParagraph"/>
              <w:numPr>
                <w:ilvl w:val="0"/>
                <w:numId w:val="7"/>
              </w:numPr>
              <w:rPr>
                <w:color w:val="000000" w:themeColor="text1"/>
              </w:rPr>
            </w:pPr>
            <w:r>
              <w:rPr>
                <w:color w:val="000000" w:themeColor="text1"/>
              </w:rPr>
              <w:t>An existing fortnightly supper club, Come Dine With Us, was adapted to a weekly meal delivery service and social check in</w:t>
            </w:r>
          </w:p>
          <w:p w:rsidR="00B233BD" w:rsidRPr="00B233BD" w:rsidRDefault="00B233BD" w:rsidP="00B233BD">
            <w:pPr>
              <w:pStyle w:val="ListParagraph"/>
              <w:numPr>
                <w:ilvl w:val="0"/>
                <w:numId w:val="7"/>
              </w:numPr>
              <w:rPr>
                <w:color w:val="000000" w:themeColor="text1"/>
              </w:rPr>
            </w:pPr>
            <w:r>
              <w:rPr>
                <w:color w:val="000000" w:themeColor="text1"/>
              </w:rPr>
              <w:t xml:space="preserve">Development of online training videos </w:t>
            </w:r>
          </w:p>
          <w:p w:rsidR="7628B980" w:rsidRDefault="7628B980" w:rsidP="2F446853">
            <w:pPr>
              <w:rPr>
                <w:rFonts w:eastAsiaTheme="minorEastAsia"/>
                <w:color w:val="000000" w:themeColor="text1"/>
              </w:rPr>
            </w:pPr>
          </w:p>
        </w:tc>
      </w:tr>
      <w:tr w:rsidR="7628B980" w:rsidTr="7FFB4009">
        <w:trPr>
          <w:trHeight w:val="1365"/>
        </w:trPr>
        <w:tc>
          <w:tcPr>
            <w:tcW w:w="2635" w:type="dxa"/>
            <w:shd w:val="clear" w:color="auto" w:fill="E7E7E7"/>
          </w:tcPr>
          <w:p w:rsidR="7628B980" w:rsidRDefault="2CB123D4" w:rsidP="2F446853">
            <w:pPr>
              <w:rPr>
                <w:rFonts w:eastAsiaTheme="minorEastAsia"/>
                <w:b/>
                <w:bCs/>
                <w:color w:val="000000" w:themeColor="text1"/>
              </w:rPr>
            </w:pPr>
            <w:r w:rsidRPr="2F446853">
              <w:rPr>
                <w:rFonts w:eastAsiaTheme="minorEastAsia"/>
                <w:b/>
                <w:bCs/>
                <w:color w:val="000000" w:themeColor="text1"/>
              </w:rPr>
              <w:t xml:space="preserve">Method – what did you do? </w:t>
            </w:r>
          </w:p>
          <w:p w:rsidR="7628B980" w:rsidRDefault="2CB123D4" w:rsidP="2F446853">
            <w:pPr>
              <w:rPr>
                <w:rFonts w:eastAsiaTheme="minorEastAsia"/>
                <w:b/>
                <w:bCs/>
                <w:color w:val="000000" w:themeColor="text1"/>
              </w:rPr>
            </w:pPr>
            <w:r w:rsidRPr="2F446853">
              <w:rPr>
                <w:rFonts w:eastAsiaTheme="minorEastAsia"/>
                <w:b/>
                <w:bCs/>
                <w:color w:val="000000" w:themeColor="text1"/>
              </w:rPr>
              <w:t>(</w:t>
            </w:r>
            <w:r w:rsidR="2BFF9E8B" w:rsidRPr="2F446853">
              <w:rPr>
                <w:rFonts w:eastAsiaTheme="minorEastAsia"/>
                <w:b/>
                <w:bCs/>
                <w:color w:val="000000" w:themeColor="text1"/>
              </w:rPr>
              <w:t>300</w:t>
            </w:r>
            <w:r w:rsidRPr="2F446853">
              <w:rPr>
                <w:rFonts w:eastAsiaTheme="minorEastAsia"/>
                <w:b/>
                <w:bCs/>
                <w:color w:val="000000" w:themeColor="text1"/>
              </w:rPr>
              <w:t xml:space="preserve"> words)</w:t>
            </w:r>
          </w:p>
        </w:tc>
        <w:tc>
          <w:tcPr>
            <w:tcW w:w="6725" w:type="dxa"/>
            <w:shd w:val="clear" w:color="auto" w:fill="E7E7E7"/>
          </w:tcPr>
          <w:p w:rsidR="00943024" w:rsidRDefault="00583491" w:rsidP="00943024">
            <w:pPr>
              <w:rPr>
                <w:color w:val="000000" w:themeColor="text1"/>
              </w:rPr>
            </w:pPr>
            <w:r>
              <w:rPr>
                <w:color w:val="000000" w:themeColor="text1"/>
              </w:rPr>
              <w:t xml:space="preserve">Staff from the NHS Tayside Falls Prevention Team and volunteers from the Royal Voluntary Service were trained to </w:t>
            </w:r>
            <w:r w:rsidR="00943024">
              <w:rPr>
                <w:color w:val="000000" w:themeColor="text1"/>
              </w:rPr>
              <w:t xml:space="preserve">use the Patients Association Nutrition Checklist to identify people at risk of malnutrition, give basic advice and signpost to services for further support.  </w:t>
            </w:r>
          </w:p>
          <w:p w:rsidR="00583491" w:rsidRDefault="00583491" w:rsidP="00943024">
            <w:pPr>
              <w:rPr>
                <w:color w:val="000000" w:themeColor="text1"/>
              </w:rPr>
            </w:pPr>
          </w:p>
          <w:p w:rsidR="00943024" w:rsidRDefault="00943024" w:rsidP="00943024">
            <w:pPr>
              <w:rPr>
                <w:color w:val="000000" w:themeColor="text1"/>
              </w:rPr>
            </w:pPr>
            <w:r>
              <w:rPr>
                <w:color w:val="000000" w:themeColor="text1"/>
              </w:rPr>
              <w:t xml:space="preserve">A telephone advice line was established for people concerned about malnutrition risk either in themselves or someone they care for.  It </w:t>
            </w:r>
            <w:r w:rsidR="006407BB">
              <w:rPr>
                <w:color w:val="000000" w:themeColor="text1"/>
              </w:rPr>
              <w:t>was</w:t>
            </w:r>
            <w:r>
              <w:rPr>
                <w:color w:val="000000" w:themeColor="text1"/>
              </w:rPr>
              <w:t xml:space="preserve"> manned by trained healthcare support workers for three hours on three days per week.  </w:t>
            </w:r>
            <w:r w:rsidR="006407BB">
              <w:rPr>
                <w:color w:val="000000" w:themeColor="text1"/>
              </w:rPr>
              <w:t xml:space="preserve">Additionally, the service could be accessed via a dedicated email account.  </w:t>
            </w:r>
            <w:r>
              <w:rPr>
                <w:color w:val="000000" w:themeColor="text1"/>
              </w:rPr>
              <w:t xml:space="preserve">A standardized form was developed to </w:t>
            </w:r>
            <w:r w:rsidR="00E85521">
              <w:rPr>
                <w:color w:val="000000" w:themeColor="text1"/>
              </w:rPr>
              <w:t>screen</w:t>
            </w:r>
            <w:r>
              <w:rPr>
                <w:color w:val="000000" w:themeColor="text1"/>
              </w:rPr>
              <w:t xml:space="preserve"> the individual for malnutrition risk, provid</w:t>
            </w:r>
            <w:r w:rsidR="00E85521">
              <w:rPr>
                <w:color w:val="000000" w:themeColor="text1"/>
              </w:rPr>
              <w:t>e</w:t>
            </w:r>
            <w:r>
              <w:rPr>
                <w:color w:val="000000" w:themeColor="text1"/>
              </w:rPr>
              <w:t xml:space="preserve"> first-line nutritional</w:t>
            </w:r>
            <w:r w:rsidR="00E85521">
              <w:rPr>
                <w:color w:val="000000" w:themeColor="text1"/>
              </w:rPr>
              <w:t xml:space="preserve"> advice and signpost or refer </w:t>
            </w:r>
            <w:r>
              <w:rPr>
                <w:color w:val="000000" w:themeColor="text1"/>
              </w:rPr>
              <w:t>to other services</w:t>
            </w:r>
            <w:r w:rsidR="00E85521">
              <w:rPr>
                <w:color w:val="000000" w:themeColor="text1"/>
              </w:rPr>
              <w:t xml:space="preserve"> where appropriate.</w:t>
            </w:r>
          </w:p>
          <w:p w:rsidR="00943024" w:rsidRDefault="00943024" w:rsidP="00943024">
            <w:pPr>
              <w:rPr>
                <w:color w:val="000000" w:themeColor="text1"/>
              </w:rPr>
            </w:pPr>
          </w:p>
          <w:p w:rsidR="00943024" w:rsidRDefault="00943024" w:rsidP="00943024">
            <w:pPr>
              <w:rPr>
                <w:rFonts w:cstheme="minorHAnsi"/>
              </w:rPr>
            </w:pPr>
            <w:r>
              <w:rPr>
                <w:rFonts w:cstheme="minorHAnsi"/>
              </w:rPr>
              <w:t xml:space="preserve">People identified as being at risk of malnutrition either through nutritional screening or after calling the telephone advice line were offered </w:t>
            </w:r>
            <w:r w:rsidRPr="00943024">
              <w:rPr>
                <w:rFonts w:cstheme="minorHAnsi"/>
              </w:rPr>
              <w:t xml:space="preserve">Boost </w:t>
            </w:r>
            <w:r>
              <w:rPr>
                <w:rFonts w:cstheme="minorHAnsi"/>
              </w:rPr>
              <w:t>B</w:t>
            </w:r>
            <w:r w:rsidRPr="00943024">
              <w:rPr>
                <w:rFonts w:cstheme="minorHAnsi"/>
              </w:rPr>
              <w:t>oxes</w:t>
            </w:r>
            <w:r>
              <w:rPr>
                <w:rFonts w:cstheme="minorHAnsi"/>
              </w:rPr>
              <w:t xml:space="preserve">.  </w:t>
            </w:r>
            <w:r w:rsidRPr="00943024">
              <w:rPr>
                <w:rFonts w:cstheme="minorHAnsi"/>
              </w:rPr>
              <w:t xml:space="preserve"> </w:t>
            </w:r>
            <w:r>
              <w:rPr>
                <w:rFonts w:cstheme="minorHAnsi"/>
              </w:rPr>
              <w:t xml:space="preserve">These </w:t>
            </w:r>
            <w:r w:rsidRPr="00943024">
              <w:rPr>
                <w:rFonts w:cstheme="minorHAnsi"/>
              </w:rPr>
              <w:t>contain</w:t>
            </w:r>
            <w:r>
              <w:rPr>
                <w:rFonts w:cstheme="minorHAnsi"/>
              </w:rPr>
              <w:t>ed</w:t>
            </w:r>
            <w:r w:rsidRPr="00943024">
              <w:rPr>
                <w:rFonts w:cstheme="minorHAnsi"/>
              </w:rPr>
              <w:t xml:space="preserve"> 14 </w:t>
            </w:r>
            <w:r>
              <w:rPr>
                <w:rFonts w:cstheme="minorHAnsi"/>
              </w:rPr>
              <w:t xml:space="preserve">high energy/ high protein </w:t>
            </w:r>
            <w:r w:rsidRPr="00943024">
              <w:rPr>
                <w:rFonts w:cstheme="minorHAnsi"/>
              </w:rPr>
              <w:t>snacks</w:t>
            </w:r>
            <w:r>
              <w:rPr>
                <w:rFonts w:cstheme="minorHAnsi"/>
              </w:rPr>
              <w:t xml:space="preserve"> such as milk puddings, malt loaf, dried fruit and drinking chocolate powder. </w:t>
            </w:r>
            <w:r w:rsidRPr="00943024">
              <w:rPr>
                <w:rFonts w:cstheme="minorHAnsi"/>
              </w:rPr>
              <w:t xml:space="preserve"> The snacks </w:t>
            </w:r>
            <w:r>
              <w:rPr>
                <w:rFonts w:cstheme="minorHAnsi"/>
              </w:rPr>
              <w:t>were designed to</w:t>
            </w:r>
            <w:r w:rsidRPr="00943024">
              <w:rPr>
                <w:rFonts w:cstheme="minorHAnsi"/>
              </w:rPr>
              <w:t xml:space="preserve"> provide extra nourishment when appetite </w:t>
            </w:r>
            <w:r>
              <w:rPr>
                <w:rFonts w:cstheme="minorHAnsi"/>
              </w:rPr>
              <w:t>was reduced</w:t>
            </w:r>
            <w:r w:rsidRPr="00943024">
              <w:rPr>
                <w:rFonts w:cstheme="minorHAnsi"/>
              </w:rPr>
              <w:t>.</w:t>
            </w:r>
            <w:r>
              <w:rPr>
                <w:rFonts w:cstheme="minorHAnsi"/>
              </w:rPr>
              <w:t xml:space="preserve">  Trained volunteers </w:t>
            </w:r>
            <w:r w:rsidR="00DB20C8">
              <w:rPr>
                <w:rFonts w:cstheme="minorHAnsi"/>
              </w:rPr>
              <w:t>from Dundee</w:t>
            </w:r>
            <w:r w:rsidR="006407BB">
              <w:rPr>
                <w:rFonts w:cstheme="minorHAnsi"/>
              </w:rPr>
              <w:t xml:space="preserve"> Volunteer and Voluntary Action </w:t>
            </w:r>
            <w:r>
              <w:rPr>
                <w:rFonts w:cstheme="minorHAnsi"/>
              </w:rPr>
              <w:t>delivered the Boost Boxes, reviewed their use weekly and refilled the boxes where appropriate for three weeks.  Ideas for suitable snacks were discussed if appetite remained reduce</w:t>
            </w:r>
            <w:r w:rsidR="00943E2B">
              <w:rPr>
                <w:rFonts w:cstheme="minorHAnsi"/>
              </w:rPr>
              <w:t>d after the three-week period, enabling self-management of long term conditions to prevent avoidable admissions to hospital or care homes.</w:t>
            </w:r>
          </w:p>
          <w:p w:rsidR="00943024" w:rsidRDefault="00943024" w:rsidP="00943024">
            <w:pPr>
              <w:rPr>
                <w:rFonts w:cstheme="minorHAnsi"/>
              </w:rPr>
            </w:pPr>
          </w:p>
          <w:p w:rsidR="00943024" w:rsidRPr="00943024" w:rsidRDefault="00943024" w:rsidP="00943024">
            <w:pPr>
              <w:rPr>
                <w:rFonts w:cstheme="minorHAnsi"/>
              </w:rPr>
            </w:pPr>
            <w:r>
              <w:rPr>
                <w:rFonts w:cstheme="minorHAnsi"/>
              </w:rPr>
              <w:t>An existing supper club</w:t>
            </w:r>
            <w:r w:rsidR="00583491">
              <w:rPr>
                <w:rFonts w:cstheme="minorHAnsi"/>
              </w:rPr>
              <w:t>,</w:t>
            </w:r>
            <w:r>
              <w:rPr>
                <w:rFonts w:cstheme="minorHAnsi"/>
              </w:rPr>
              <w:t xml:space="preserve"> which had been providing a fortnightly evening meal to 30 diners</w:t>
            </w:r>
            <w:r w:rsidR="00583491">
              <w:rPr>
                <w:rFonts w:cstheme="minorHAnsi"/>
              </w:rPr>
              <w:t>,</w:t>
            </w:r>
            <w:r>
              <w:rPr>
                <w:rFonts w:cstheme="minorHAnsi"/>
              </w:rPr>
              <w:t xml:space="preserve"> was adapted to provide a weekly meal delivery service and social check-in.  </w:t>
            </w:r>
            <w:r w:rsidR="006407BB">
              <w:rPr>
                <w:rFonts w:cstheme="minorHAnsi"/>
              </w:rPr>
              <w:t xml:space="preserve">Meals were cooked by staff in a local school that </w:t>
            </w:r>
            <w:r w:rsidR="00583491">
              <w:rPr>
                <w:rFonts w:cstheme="minorHAnsi"/>
              </w:rPr>
              <w:t xml:space="preserve">had been </w:t>
            </w:r>
            <w:r w:rsidR="006407BB">
              <w:rPr>
                <w:rFonts w:cstheme="minorHAnsi"/>
              </w:rPr>
              <w:t>furloughed and delivered by healthcare support workers.</w:t>
            </w:r>
            <w:r w:rsidR="004F13E2">
              <w:rPr>
                <w:rFonts w:cstheme="minorHAnsi"/>
              </w:rPr>
              <w:t xml:space="preserve">  Additionally they received weekly telephone calls to reduce social isolation.</w:t>
            </w:r>
          </w:p>
          <w:p w:rsidR="00943024" w:rsidRDefault="00943024" w:rsidP="00943024">
            <w:pPr>
              <w:rPr>
                <w:color w:val="000000" w:themeColor="text1"/>
              </w:rPr>
            </w:pPr>
          </w:p>
          <w:p w:rsidR="00943024" w:rsidRDefault="00943024" w:rsidP="00943024">
            <w:pPr>
              <w:rPr>
                <w:color w:val="000000" w:themeColor="text1"/>
              </w:rPr>
            </w:pPr>
            <w:r>
              <w:rPr>
                <w:color w:val="000000" w:themeColor="text1"/>
              </w:rPr>
              <w:t>Short training videos were developed and made available on Youtube.com to address the following topics:</w:t>
            </w:r>
          </w:p>
          <w:p w:rsidR="00943024" w:rsidRDefault="00943024" w:rsidP="00943024">
            <w:pPr>
              <w:pStyle w:val="ListParagraph"/>
              <w:numPr>
                <w:ilvl w:val="0"/>
                <w:numId w:val="8"/>
              </w:numPr>
              <w:rPr>
                <w:color w:val="000000" w:themeColor="text1"/>
              </w:rPr>
            </w:pPr>
            <w:r>
              <w:rPr>
                <w:color w:val="000000" w:themeColor="text1"/>
              </w:rPr>
              <w:t>Signs and symptoms of undernutrition</w:t>
            </w:r>
          </w:p>
          <w:p w:rsidR="00943024" w:rsidRDefault="00943024" w:rsidP="00943024">
            <w:pPr>
              <w:pStyle w:val="ListParagraph"/>
              <w:numPr>
                <w:ilvl w:val="0"/>
                <w:numId w:val="8"/>
              </w:numPr>
              <w:rPr>
                <w:color w:val="000000" w:themeColor="text1"/>
              </w:rPr>
            </w:pPr>
            <w:r>
              <w:rPr>
                <w:color w:val="000000" w:themeColor="text1"/>
              </w:rPr>
              <w:t>Food Fortification</w:t>
            </w:r>
          </w:p>
          <w:p w:rsidR="00943024" w:rsidRDefault="00943024" w:rsidP="00943024">
            <w:pPr>
              <w:pStyle w:val="ListParagraph"/>
              <w:numPr>
                <w:ilvl w:val="0"/>
                <w:numId w:val="8"/>
              </w:numPr>
              <w:rPr>
                <w:color w:val="000000" w:themeColor="text1"/>
              </w:rPr>
            </w:pPr>
            <w:r>
              <w:rPr>
                <w:color w:val="000000" w:themeColor="text1"/>
              </w:rPr>
              <w:t>Nourishing Drinks</w:t>
            </w:r>
          </w:p>
          <w:p w:rsidR="00943024" w:rsidRDefault="00943024" w:rsidP="00943024">
            <w:pPr>
              <w:pStyle w:val="ListParagraph"/>
              <w:numPr>
                <w:ilvl w:val="0"/>
                <w:numId w:val="8"/>
              </w:numPr>
              <w:rPr>
                <w:color w:val="000000" w:themeColor="text1"/>
              </w:rPr>
            </w:pPr>
            <w:r>
              <w:rPr>
                <w:color w:val="000000" w:themeColor="text1"/>
              </w:rPr>
              <w:t>How to fortify your milk</w:t>
            </w:r>
          </w:p>
          <w:p w:rsidR="00943024" w:rsidRPr="00943024" w:rsidRDefault="00943024" w:rsidP="00943024">
            <w:pPr>
              <w:pStyle w:val="ListParagraph"/>
              <w:numPr>
                <w:ilvl w:val="0"/>
                <w:numId w:val="8"/>
              </w:numPr>
              <w:rPr>
                <w:color w:val="000000" w:themeColor="text1"/>
              </w:rPr>
            </w:pPr>
            <w:r>
              <w:rPr>
                <w:color w:val="000000" w:themeColor="text1"/>
              </w:rPr>
              <w:t>Get Nourished Advice Line</w:t>
            </w:r>
          </w:p>
          <w:p w:rsidR="00943024" w:rsidRPr="00943024" w:rsidRDefault="00943024" w:rsidP="00943024">
            <w:pPr>
              <w:rPr>
                <w:color w:val="000000" w:themeColor="text1"/>
              </w:rPr>
            </w:pPr>
          </w:p>
          <w:p w:rsidR="7628B980" w:rsidRDefault="7628B980" w:rsidP="7FFB4009">
            <w:pPr>
              <w:rPr>
                <w:rFonts w:eastAsiaTheme="minorEastAsia"/>
                <w:color w:val="000000" w:themeColor="text1"/>
              </w:rPr>
            </w:pPr>
          </w:p>
        </w:tc>
      </w:tr>
      <w:tr w:rsidR="7628B980" w:rsidTr="7FFB4009">
        <w:trPr>
          <w:trHeight w:val="1560"/>
        </w:trPr>
        <w:tc>
          <w:tcPr>
            <w:tcW w:w="2635" w:type="dxa"/>
            <w:shd w:val="clear" w:color="auto" w:fill="FFFFFF" w:themeFill="background1"/>
          </w:tcPr>
          <w:p w:rsidR="7628B980" w:rsidRDefault="2CB123D4" w:rsidP="2F446853">
            <w:pPr>
              <w:rPr>
                <w:rFonts w:eastAsiaTheme="minorEastAsia"/>
                <w:b/>
                <w:bCs/>
                <w:color w:val="000000" w:themeColor="text1"/>
              </w:rPr>
            </w:pPr>
            <w:r w:rsidRPr="2F446853">
              <w:rPr>
                <w:rFonts w:eastAsiaTheme="minorEastAsia"/>
                <w:b/>
                <w:bCs/>
                <w:color w:val="000000" w:themeColor="text1"/>
              </w:rPr>
              <w:t>Outcomes – what difference did you make? (</w:t>
            </w:r>
            <w:r w:rsidR="6682AB7D" w:rsidRPr="2F446853">
              <w:rPr>
                <w:rFonts w:eastAsiaTheme="minorEastAsia"/>
                <w:b/>
                <w:bCs/>
                <w:color w:val="000000" w:themeColor="text1"/>
              </w:rPr>
              <w:t>300</w:t>
            </w:r>
            <w:r w:rsidRPr="2F446853">
              <w:rPr>
                <w:rFonts w:eastAsiaTheme="minorEastAsia"/>
                <w:b/>
                <w:bCs/>
                <w:color w:val="000000" w:themeColor="text1"/>
              </w:rPr>
              <w:t xml:space="preserve"> words)</w:t>
            </w:r>
          </w:p>
        </w:tc>
        <w:tc>
          <w:tcPr>
            <w:tcW w:w="6725" w:type="dxa"/>
            <w:shd w:val="clear" w:color="auto" w:fill="FFFFFF" w:themeFill="background1"/>
          </w:tcPr>
          <w:p w:rsidR="00943024" w:rsidRDefault="00583491" w:rsidP="00943024">
            <w:pPr>
              <w:rPr>
                <w:color w:val="000000" w:themeColor="text1"/>
              </w:rPr>
            </w:pPr>
            <w:r>
              <w:rPr>
                <w:color w:val="000000" w:themeColor="text1"/>
              </w:rPr>
              <w:t xml:space="preserve">Feedback from those trained to use the Patients Association Nutrition Checklist indicated that it was easy to use. </w:t>
            </w:r>
          </w:p>
          <w:p w:rsidR="006407BB" w:rsidRDefault="006407BB" w:rsidP="00943024">
            <w:pPr>
              <w:rPr>
                <w:color w:val="000000" w:themeColor="text1"/>
              </w:rPr>
            </w:pPr>
          </w:p>
          <w:p w:rsidR="006407BB" w:rsidRDefault="00583491" w:rsidP="006407BB">
            <w:pPr>
              <w:rPr>
                <w:rFonts w:cs="Calibri"/>
              </w:rPr>
            </w:pPr>
            <w:r>
              <w:rPr>
                <w:rFonts w:cs="Calibri"/>
              </w:rPr>
              <w:t xml:space="preserve">Over a one year period, 70 people </w:t>
            </w:r>
            <w:r w:rsidR="006407BB">
              <w:rPr>
                <w:rFonts w:cs="Calibri"/>
              </w:rPr>
              <w:t xml:space="preserve">called the </w:t>
            </w:r>
            <w:r>
              <w:rPr>
                <w:rFonts w:cs="Calibri"/>
              </w:rPr>
              <w:t xml:space="preserve">Get Nourished </w:t>
            </w:r>
            <w:r w:rsidR="006407BB">
              <w:rPr>
                <w:rFonts w:cs="Calibri"/>
              </w:rPr>
              <w:t>advice line</w:t>
            </w:r>
            <w:r>
              <w:rPr>
                <w:rFonts w:cs="Calibri"/>
              </w:rPr>
              <w:t xml:space="preserve">, with the majority of callers (80%) seeking advice for themselves. On review, 51% of callers </w:t>
            </w:r>
            <w:r w:rsidR="006407BB">
              <w:rPr>
                <w:rFonts w:cs="Calibri"/>
              </w:rPr>
              <w:t xml:space="preserve">reported that they had been able to fully implement the advice provided and </w:t>
            </w:r>
            <w:r>
              <w:rPr>
                <w:rFonts w:cs="Calibri"/>
              </w:rPr>
              <w:t>25</w:t>
            </w:r>
            <w:r w:rsidR="006407BB">
              <w:rPr>
                <w:rFonts w:cs="Calibri"/>
              </w:rPr>
              <w:t>% had implemented it partially.</w:t>
            </w:r>
            <w:r>
              <w:rPr>
                <w:rFonts w:cs="Calibri"/>
              </w:rPr>
              <w:t xml:space="preserve">  Twenty-two percent of callers were referred to the Nutrition and Dietetic Service</w:t>
            </w:r>
            <w:r w:rsidR="00DB20C8">
              <w:rPr>
                <w:rFonts w:cs="Calibri"/>
              </w:rPr>
              <w:t xml:space="preserve"> for more specialist support</w:t>
            </w:r>
            <w:r>
              <w:rPr>
                <w:rFonts w:cs="Calibri"/>
              </w:rPr>
              <w:t xml:space="preserve">.  Almost half of the callers had been signposted to the Get Nourished advice line by the Falls Prevention Team.  </w:t>
            </w:r>
          </w:p>
          <w:p w:rsidR="00583491" w:rsidRDefault="00583491" w:rsidP="006407BB">
            <w:pPr>
              <w:rPr>
                <w:rFonts w:cs="Calibri"/>
              </w:rPr>
            </w:pPr>
          </w:p>
          <w:p w:rsidR="006407BB" w:rsidRDefault="006407BB" w:rsidP="006407BB">
            <w:pPr>
              <w:rPr>
                <w:rFonts w:cs="Calibri"/>
              </w:rPr>
            </w:pPr>
            <w:r w:rsidRPr="006407BB">
              <w:rPr>
                <w:rFonts w:cs="Calibri"/>
              </w:rPr>
              <w:t xml:space="preserve">Over a one-year period, 48 people were identified as requiring support due to poor appetite and over 150 Boost Boxes were delivered as some required support for longer than three weeks.  </w:t>
            </w:r>
            <w:r w:rsidR="00583491" w:rsidRPr="006407BB">
              <w:rPr>
                <w:rFonts w:cs="Calibri"/>
              </w:rPr>
              <w:t>No referrals to other services were required.</w:t>
            </w:r>
            <w:r w:rsidR="00583491">
              <w:rPr>
                <w:rFonts w:cs="Calibri"/>
              </w:rPr>
              <w:t xml:space="preserve">  I</w:t>
            </w:r>
            <w:r w:rsidRPr="006407BB">
              <w:rPr>
                <w:rFonts w:cs="Calibri"/>
              </w:rPr>
              <w:t xml:space="preserve">nitially there were regular referrals but this decreased over time.  </w:t>
            </w:r>
            <w:r w:rsidR="00583491">
              <w:rPr>
                <w:rFonts w:cs="Calibri"/>
              </w:rPr>
              <w:t xml:space="preserve">Approximately seven people are receiving Boost Boxes at any one time. </w:t>
            </w:r>
          </w:p>
          <w:p w:rsidR="00583491" w:rsidRDefault="00583491" w:rsidP="006407BB">
            <w:pPr>
              <w:rPr>
                <w:rFonts w:cs="Calibri"/>
              </w:rPr>
            </w:pPr>
          </w:p>
          <w:p w:rsidR="006407BB" w:rsidRDefault="00583491" w:rsidP="006407BB">
            <w:pPr>
              <w:rPr>
                <w:rFonts w:cs="Calibri"/>
              </w:rPr>
            </w:pPr>
            <w:r>
              <w:rPr>
                <w:rFonts w:cs="Calibri"/>
              </w:rPr>
              <w:t>Between March and October 2020, o</w:t>
            </w:r>
            <w:r w:rsidR="006407BB">
              <w:rPr>
                <w:rFonts w:cs="Calibri"/>
              </w:rPr>
              <w:t xml:space="preserve">ver 3000 meals </w:t>
            </w:r>
            <w:r>
              <w:rPr>
                <w:rFonts w:cs="Calibri"/>
              </w:rPr>
              <w:t>were</w:t>
            </w:r>
            <w:r w:rsidR="006407BB">
              <w:rPr>
                <w:rFonts w:cs="Calibri"/>
              </w:rPr>
              <w:t xml:space="preserve"> delivered and over 1600 phone calls </w:t>
            </w:r>
            <w:r>
              <w:rPr>
                <w:rFonts w:cs="Calibri"/>
              </w:rPr>
              <w:t>were</w:t>
            </w:r>
            <w:r w:rsidR="006407BB">
              <w:rPr>
                <w:rFonts w:cs="Calibri"/>
              </w:rPr>
              <w:t xml:space="preserve"> made, providing support, advice and companionship to older adults across Dundee.  An evaluation survey was issued to 24 households and 16 responses were received.  The survey asked in which ways the service had helped them and the results are shown below:</w:t>
            </w:r>
          </w:p>
          <w:p w:rsidR="006407BB" w:rsidRDefault="006407BB" w:rsidP="006407BB">
            <w:pPr>
              <w:rPr>
                <w:rFonts w:cs="Calibri"/>
              </w:rPr>
            </w:pPr>
          </w:p>
          <w:tbl>
            <w:tblPr>
              <w:tblStyle w:val="TableGrid"/>
              <w:tblW w:w="0" w:type="auto"/>
              <w:tblLayout w:type="fixed"/>
              <w:tblLook w:val="04A0" w:firstRow="1" w:lastRow="0" w:firstColumn="1" w:lastColumn="0" w:noHBand="0" w:noVBand="1"/>
            </w:tblPr>
            <w:tblGrid>
              <w:gridCol w:w="5015"/>
              <w:gridCol w:w="709"/>
              <w:gridCol w:w="770"/>
            </w:tblGrid>
            <w:tr w:rsidR="006407BB" w:rsidTr="006407BB">
              <w:tc>
                <w:tcPr>
                  <w:tcW w:w="5015" w:type="dxa"/>
                </w:tcPr>
                <w:p w:rsidR="006407BB" w:rsidRDefault="006407BB" w:rsidP="006407BB">
                  <w:pPr>
                    <w:rPr>
                      <w:rFonts w:cs="Calibri"/>
                    </w:rPr>
                  </w:pPr>
                </w:p>
              </w:tc>
              <w:tc>
                <w:tcPr>
                  <w:tcW w:w="709" w:type="dxa"/>
                </w:tcPr>
                <w:p w:rsidR="006407BB" w:rsidRDefault="006407BB" w:rsidP="006407BB">
                  <w:pPr>
                    <w:jc w:val="center"/>
                    <w:rPr>
                      <w:rFonts w:cs="Calibri"/>
                    </w:rPr>
                  </w:pPr>
                  <w:r>
                    <w:rPr>
                      <w:rFonts w:cs="Calibri"/>
                    </w:rPr>
                    <w:t>Yes</w:t>
                  </w:r>
                </w:p>
              </w:tc>
              <w:tc>
                <w:tcPr>
                  <w:tcW w:w="770" w:type="dxa"/>
                </w:tcPr>
                <w:p w:rsidR="006407BB" w:rsidRDefault="006407BB" w:rsidP="006407BB">
                  <w:pPr>
                    <w:jc w:val="center"/>
                    <w:rPr>
                      <w:rFonts w:cs="Calibri"/>
                    </w:rPr>
                  </w:pPr>
                  <w:r>
                    <w:rPr>
                      <w:rFonts w:cs="Calibri"/>
                    </w:rPr>
                    <w:t>No</w:t>
                  </w:r>
                </w:p>
              </w:tc>
            </w:tr>
            <w:tr w:rsidR="006407BB" w:rsidTr="006407BB">
              <w:tc>
                <w:tcPr>
                  <w:tcW w:w="5015" w:type="dxa"/>
                </w:tcPr>
                <w:p w:rsidR="006407BB" w:rsidRDefault="006407BB" w:rsidP="006407BB">
                  <w:pPr>
                    <w:rPr>
                      <w:rFonts w:cs="Calibri"/>
                    </w:rPr>
                  </w:pPr>
                  <w:r>
                    <w:rPr>
                      <w:rFonts w:cs="Calibri"/>
                    </w:rPr>
                    <w:t>I am better nourished</w:t>
                  </w:r>
                </w:p>
              </w:tc>
              <w:tc>
                <w:tcPr>
                  <w:tcW w:w="709" w:type="dxa"/>
                </w:tcPr>
                <w:p w:rsidR="006407BB" w:rsidRDefault="006407BB" w:rsidP="006407BB">
                  <w:pPr>
                    <w:jc w:val="center"/>
                    <w:rPr>
                      <w:rFonts w:cs="Calibri"/>
                    </w:rPr>
                  </w:pPr>
                  <w:r>
                    <w:rPr>
                      <w:rFonts w:cs="Calibri"/>
                    </w:rPr>
                    <w:t>15</w:t>
                  </w:r>
                </w:p>
              </w:tc>
              <w:tc>
                <w:tcPr>
                  <w:tcW w:w="770" w:type="dxa"/>
                </w:tcPr>
                <w:p w:rsidR="006407BB" w:rsidRDefault="006407BB" w:rsidP="006407BB">
                  <w:pPr>
                    <w:jc w:val="center"/>
                    <w:rPr>
                      <w:rFonts w:cs="Calibri"/>
                    </w:rPr>
                  </w:pPr>
                  <w:r>
                    <w:rPr>
                      <w:rFonts w:cs="Calibri"/>
                    </w:rPr>
                    <w:t>1</w:t>
                  </w:r>
                </w:p>
              </w:tc>
            </w:tr>
            <w:tr w:rsidR="006407BB" w:rsidTr="006407BB">
              <w:tc>
                <w:tcPr>
                  <w:tcW w:w="5015" w:type="dxa"/>
                </w:tcPr>
                <w:p w:rsidR="006407BB" w:rsidRDefault="006407BB" w:rsidP="006407BB">
                  <w:pPr>
                    <w:rPr>
                      <w:rFonts w:cs="Calibri"/>
                    </w:rPr>
                  </w:pPr>
                  <w:r>
                    <w:rPr>
                      <w:rFonts w:cs="Calibri"/>
                    </w:rPr>
                    <w:t>I am more socially connected to my community</w:t>
                  </w:r>
                </w:p>
              </w:tc>
              <w:tc>
                <w:tcPr>
                  <w:tcW w:w="709" w:type="dxa"/>
                </w:tcPr>
                <w:p w:rsidR="006407BB" w:rsidRDefault="006407BB" w:rsidP="006407BB">
                  <w:pPr>
                    <w:jc w:val="center"/>
                    <w:rPr>
                      <w:rFonts w:cs="Calibri"/>
                    </w:rPr>
                  </w:pPr>
                  <w:r>
                    <w:rPr>
                      <w:rFonts w:cs="Calibri"/>
                    </w:rPr>
                    <w:t>16</w:t>
                  </w:r>
                </w:p>
              </w:tc>
              <w:tc>
                <w:tcPr>
                  <w:tcW w:w="770" w:type="dxa"/>
                </w:tcPr>
                <w:p w:rsidR="006407BB" w:rsidRDefault="006407BB" w:rsidP="006407BB">
                  <w:pPr>
                    <w:jc w:val="center"/>
                    <w:rPr>
                      <w:rFonts w:cs="Calibri"/>
                    </w:rPr>
                  </w:pPr>
                  <w:r>
                    <w:rPr>
                      <w:rFonts w:cs="Calibri"/>
                    </w:rPr>
                    <w:t>0</w:t>
                  </w:r>
                </w:p>
              </w:tc>
            </w:tr>
            <w:tr w:rsidR="006407BB" w:rsidTr="006407BB">
              <w:tc>
                <w:tcPr>
                  <w:tcW w:w="5015" w:type="dxa"/>
                </w:tcPr>
                <w:p w:rsidR="006407BB" w:rsidRDefault="006407BB" w:rsidP="006407BB">
                  <w:pPr>
                    <w:rPr>
                      <w:rFonts w:cs="Calibri"/>
                    </w:rPr>
                  </w:pPr>
                  <w:r>
                    <w:rPr>
                      <w:rFonts w:cs="Calibri"/>
                    </w:rPr>
                    <w:t>I am physically healthier</w:t>
                  </w:r>
                </w:p>
              </w:tc>
              <w:tc>
                <w:tcPr>
                  <w:tcW w:w="709" w:type="dxa"/>
                </w:tcPr>
                <w:p w:rsidR="006407BB" w:rsidRDefault="006407BB" w:rsidP="006407BB">
                  <w:pPr>
                    <w:jc w:val="center"/>
                    <w:rPr>
                      <w:rFonts w:cs="Calibri"/>
                    </w:rPr>
                  </w:pPr>
                  <w:r>
                    <w:rPr>
                      <w:rFonts w:cs="Calibri"/>
                    </w:rPr>
                    <w:t>15</w:t>
                  </w:r>
                </w:p>
              </w:tc>
              <w:tc>
                <w:tcPr>
                  <w:tcW w:w="770" w:type="dxa"/>
                </w:tcPr>
                <w:p w:rsidR="006407BB" w:rsidRDefault="006407BB" w:rsidP="006407BB">
                  <w:pPr>
                    <w:jc w:val="center"/>
                    <w:rPr>
                      <w:rFonts w:cs="Calibri"/>
                    </w:rPr>
                  </w:pPr>
                  <w:r>
                    <w:rPr>
                      <w:rFonts w:cs="Calibri"/>
                    </w:rPr>
                    <w:t>1</w:t>
                  </w:r>
                </w:p>
              </w:tc>
            </w:tr>
            <w:tr w:rsidR="006407BB" w:rsidTr="006407BB">
              <w:tc>
                <w:tcPr>
                  <w:tcW w:w="5015" w:type="dxa"/>
                </w:tcPr>
                <w:p w:rsidR="006407BB" w:rsidRDefault="006407BB" w:rsidP="006407BB">
                  <w:pPr>
                    <w:rPr>
                      <w:rFonts w:cs="Calibri"/>
                    </w:rPr>
                  </w:pPr>
                  <w:r>
                    <w:rPr>
                      <w:rFonts w:cs="Calibri"/>
                    </w:rPr>
                    <w:t>My mental health has improved</w:t>
                  </w:r>
                </w:p>
              </w:tc>
              <w:tc>
                <w:tcPr>
                  <w:tcW w:w="709" w:type="dxa"/>
                </w:tcPr>
                <w:p w:rsidR="006407BB" w:rsidRDefault="006407BB" w:rsidP="006407BB">
                  <w:pPr>
                    <w:jc w:val="center"/>
                    <w:rPr>
                      <w:rFonts w:cs="Calibri"/>
                    </w:rPr>
                  </w:pPr>
                  <w:r>
                    <w:rPr>
                      <w:rFonts w:cs="Calibri"/>
                    </w:rPr>
                    <w:t>15</w:t>
                  </w:r>
                </w:p>
              </w:tc>
              <w:tc>
                <w:tcPr>
                  <w:tcW w:w="770" w:type="dxa"/>
                </w:tcPr>
                <w:p w:rsidR="006407BB" w:rsidRDefault="006407BB" w:rsidP="006407BB">
                  <w:pPr>
                    <w:jc w:val="center"/>
                    <w:rPr>
                      <w:rFonts w:cs="Calibri"/>
                    </w:rPr>
                  </w:pPr>
                  <w:r>
                    <w:rPr>
                      <w:rFonts w:cs="Calibri"/>
                    </w:rPr>
                    <w:t>1</w:t>
                  </w:r>
                </w:p>
              </w:tc>
            </w:tr>
            <w:tr w:rsidR="006407BB" w:rsidTr="006407BB">
              <w:tc>
                <w:tcPr>
                  <w:tcW w:w="5015" w:type="dxa"/>
                </w:tcPr>
                <w:p w:rsidR="006407BB" w:rsidRDefault="006407BB" w:rsidP="006407BB">
                  <w:pPr>
                    <w:rPr>
                      <w:rFonts w:cs="Calibri"/>
                    </w:rPr>
                  </w:pPr>
                  <w:r>
                    <w:rPr>
                      <w:rFonts w:cs="Calibri"/>
                    </w:rPr>
                    <w:t>My general and emotional wellbeing has improved</w:t>
                  </w:r>
                </w:p>
              </w:tc>
              <w:tc>
                <w:tcPr>
                  <w:tcW w:w="709" w:type="dxa"/>
                </w:tcPr>
                <w:p w:rsidR="006407BB" w:rsidRDefault="006407BB" w:rsidP="006407BB">
                  <w:pPr>
                    <w:jc w:val="center"/>
                    <w:rPr>
                      <w:rFonts w:cs="Calibri"/>
                    </w:rPr>
                  </w:pPr>
                  <w:r>
                    <w:rPr>
                      <w:rFonts w:cs="Calibri"/>
                    </w:rPr>
                    <w:t>14</w:t>
                  </w:r>
                </w:p>
              </w:tc>
              <w:tc>
                <w:tcPr>
                  <w:tcW w:w="770" w:type="dxa"/>
                </w:tcPr>
                <w:p w:rsidR="006407BB" w:rsidRDefault="006407BB" w:rsidP="006407BB">
                  <w:pPr>
                    <w:jc w:val="center"/>
                    <w:rPr>
                      <w:rFonts w:cs="Calibri"/>
                    </w:rPr>
                  </w:pPr>
                  <w:r>
                    <w:rPr>
                      <w:rFonts w:cs="Calibri"/>
                    </w:rPr>
                    <w:t>2</w:t>
                  </w:r>
                </w:p>
              </w:tc>
            </w:tr>
            <w:tr w:rsidR="006407BB" w:rsidTr="006407BB">
              <w:tc>
                <w:tcPr>
                  <w:tcW w:w="5015" w:type="dxa"/>
                </w:tcPr>
                <w:p w:rsidR="006407BB" w:rsidRDefault="006407BB" w:rsidP="006407BB">
                  <w:pPr>
                    <w:rPr>
                      <w:rFonts w:cs="Calibri"/>
                    </w:rPr>
                  </w:pPr>
                  <w:r>
                    <w:rPr>
                      <w:rFonts w:cs="Calibri"/>
                    </w:rPr>
                    <w:t>I am less lonely</w:t>
                  </w:r>
                </w:p>
              </w:tc>
              <w:tc>
                <w:tcPr>
                  <w:tcW w:w="709" w:type="dxa"/>
                </w:tcPr>
                <w:p w:rsidR="006407BB" w:rsidRDefault="006407BB" w:rsidP="006407BB">
                  <w:pPr>
                    <w:jc w:val="center"/>
                    <w:rPr>
                      <w:rFonts w:cs="Calibri"/>
                    </w:rPr>
                  </w:pPr>
                  <w:r>
                    <w:rPr>
                      <w:rFonts w:cs="Calibri"/>
                    </w:rPr>
                    <w:t>14</w:t>
                  </w:r>
                </w:p>
              </w:tc>
              <w:tc>
                <w:tcPr>
                  <w:tcW w:w="770" w:type="dxa"/>
                </w:tcPr>
                <w:p w:rsidR="006407BB" w:rsidRDefault="006407BB" w:rsidP="006407BB">
                  <w:pPr>
                    <w:jc w:val="center"/>
                    <w:rPr>
                      <w:rFonts w:cs="Calibri"/>
                    </w:rPr>
                  </w:pPr>
                  <w:r>
                    <w:rPr>
                      <w:rFonts w:cs="Calibri"/>
                    </w:rPr>
                    <w:t>2</w:t>
                  </w:r>
                </w:p>
              </w:tc>
            </w:tr>
            <w:tr w:rsidR="006407BB" w:rsidTr="006407BB">
              <w:tc>
                <w:tcPr>
                  <w:tcW w:w="5015" w:type="dxa"/>
                </w:tcPr>
                <w:p w:rsidR="006407BB" w:rsidRDefault="006407BB" w:rsidP="006407BB">
                  <w:pPr>
                    <w:rPr>
                      <w:rFonts w:cs="Calibri"/>
                    </w:rPr>
                  </w:pPr>
                  <w:r>
                    <w:rPr>
                      <w:rFonts w:cs="Calibri"/>
                    </w:rPr>
                    <w:t>I feel valued and supported by the community</w:t>
                  </w:r>
                </w:p>
              </w:tc>
              <w:tc>
                <w:tcPr>
                  <w:tcW w:w="709" w:type="dxa"/>
                </w:tcPr>
                <w:p w:rsidR="006407BB" w:rsidRDefault="006407BB" w:rsidP="006407BB">
                  <w:pPr>
                    <w:jc w:val="center"/>
                    <w:rPr>
                      <w:rFonts w:cs="Calibri"/>
                    </w:rPr>
                  </w:pPr>
                  <w:r>
                    <w:rPr>
                      <w:rFonts w:cs="Calibri"/>
                    </w:rPr>
                    <w:t>16</w:t>
                  </w:r>
                </w:p>
              </w:tc>
              <w:tc>
                <w:tcPr>
                  <w:tcW w:w="770" w:type="dxa"/>
                </w:tcPr>
                <w:p w:rsidR="006407BB" w:rsidRDefault="006407BB" w:rsidP="006407BB">
                  <w:pPr>
                    <w:jc w:val="center"/>
                    <w:rPr>
                      <w:rFonts w:cs="Calibri"/>
                    </w:rPr>
                  </w:pPr>
                  <w:r>
                    <w:rPr>
                      <w:rFonts w:cs="Calibri"/>
                    </w:rPr>
                    <w:t>0</w:t>
                  </w:r>
                </w:p>
              </w:tc>
            </w:tr>
            <w:tr w:rsidR="006407BB" w:rsidTr="006407BB">
              <w:tc>
                <w:tcPr>
                  <w:tcW w:w="5015" w:type="dxa"/>
                </w:tcPr>
                <w:p w:rsidR="006407BB" w:rsidRDefault="006407BB" w:rsidP="006407BB">
                  <w:pPr>
                    <w:rPr>
                      <w:rFonts w:cs="Calibri"/>
                    </w:rPr>
                  </w:pPr>
                  <w:r>
                    <w:rPr>
                      <w:rFonts w:cs="Calibri"/>
                    </w:rPr>
                    <w:t>My overall morale has improved</w:t>
                  </w:r>
                </w:p>
              </w:tc>
              <w:tc>
                <w:tcPr>
                  <w:tcW w:w="709" w:type="dxa"/>
                </w:tcPr>
                <w:p w:rsidR="006407BB" w:rsidRDefault="006407BB" w:rsidP="006407BB">
                  <w:pPr>
                    <w:jc w:val="center"/>
                    <w:rPr>
                      <w:rFonts w:cs="Calibri"/>
                    </w:rPr>
                  </w:pPr>
                  <w:r>
                    <w:rPr>
                      <w:rFonts w:cs="Calibri"/>
                    </w:rPr>
                    <w:t>16</w:t>
                  </w:r>
                </w:p>
              </w:tc>
              <w:tc>
                <w:tcPr>
                  <w:tcW w:w="770" w:type="dxa"/>
                </w:tcPr>
                <w:p w:rsidR="006407BB" w:rsidRDefault="006407BB" w:rsidP="006407BB">
                  <w:pPr>
                    <w:jc w:val="center"/>
                    <w:rPr>
                      <w:rFonts w:cs="Calibri"/>
                    </w:rPr>
                  </w:pPr>
                  <w:r>
                    <w:rPr>
                      <w:rFonts w:cs="Calibri"/>
                    </w:rPr>
                    <w:t>0</w:t>
                  </w:r>
                </w:p>
              </w:tc>
            </w:tr>
          </w:tbl>
          <w:p w:rsidR="006407BB" w:rsidRPr="006407BB" w:rsidRDefault="006407BB" w:rsidP="006407BB">
            <w:pPr>
              <w:rPr>
                <w:rFonts w:cs="Calibri"/>
              </w:rPr>
            </w:pPr>
          </w:p>
          <w:p w:rsidR="006407BB" w:rsidRPr="006407BB" w:rsidRDefault="006407BB" w:rsidP="006407BB">
            <w:pPr>
              <w:rPr>
                <w:rFonts w:cs="Calibri"/>
              </w:rPr>
            </w:pPr>
            <w:r>
              <w:rPr>
                <w:rFonts w:cs="Calibri"/>
              </w:rPr>
              <w:t>One recipient commented “It has helped me a great deal especially as I have no family nearby.  Getting a phone call and knowing where to turn for support is brilliant.  I really appreciate everything.  I would like to come to the supper club when it starts up again.”</w:t>
            </w:r>
          </w:p>
          <w:p w:rsidR="006407BB" w:rsidRPr="006407BB" w:rsidRDefault="006407BB" w:rsidP="00943024">
            <w:pPr>
              <w:rPr>
                <w:color w:val="000000" w:themeColor="text1"/>
              </w:rPr>
            </w:pPr>
          </w:p>
          <w:p w:rsidR="7628B980" w:rsidRDefault="00943024" w:rsidP="00583491">
            <w:pPr>
              <w:rPr>
                <w:rFonts w:ascii="Calibri" w:eastAsia="Calibri" w:hAnsi="Calibri" w:cs="Calibri"/>
                <w:color w:val="000000" w:themeColor="text1"/>
              </w:rPr>
            </w:pPr>
            <w:r w:rsidRPr="006407BB">
              <w:rPr>
                <w:rFonts w:ascii="Calibri" w:eastAsia="Calibri" w:hAnsi="Calibri" w:cs="Calibri"/>
                <w:color w:val="000000" w:themeColor="text1"/>
              </w:rPr>
              <w:t>Use of videos enabled training and information to be shared quickly, efficiently and consistently.</w:t>
            </w:r>
            <w:r w:rsidR="00583491">
              <w:rPr>
                <w:rFonts w:ascii="Calibri" w:eastAsia="Calibri" w:hAnsi="Calibri" w:cs="Calibri"/>
                <w:color w:val="000000" w:themeColor="text1"/>
              </w:rPr>
              <w:t xml:space="preserve">  Each video has been viewed approximately 100 times and care home staff reported that they found the one on Food Fortification particularly helpful. </w:t>
            </w:r>
            <w:r w:rsidR="006407BB">
              <w:rPr>
                <w:rFonts w:ascii="Calibri" w:eastAsia="Calibri" w:hAnsi="Calibri" w:cs="Calibri"/>
                <w:color w:val="000000" w:themeColor="text1"/>
              </w:rPr>
              <w:t xml:space="preserve"> </w:t>
            </w:r>
          </w:p>
        </w:tc>
      </w:tr>
      <w:tr w:rsidR="7628B980" w:rsidTr="7FFB4009">
        <w:trPr>
          <w:trHeight w:val="1365"/>
        </w:trPr>
        <w:tc>
          <w:tcPr>
            <w:tcW w:w="2635" w:type="dxa"/>
            <w:shd w:val="clear" w:color="auto" w:fill="E7E7E7"/>
          </w:tcPr>
          <w:p w:rsidR="7628B980" w:rsidRDefault="2CB123D4" w:rsidP="2F446853">
            <w:pPr>
              <w:rPr>
                <w:rFonts w:eastAsiaTheme="minorEastAsia"/>
                <w:b/>
                <w:bCs/>
                <w:color w:val="000000" w:themeColor="text1"/>
              </w:rPr>
            </w:pPr>
            <w:r w:rsidRPr="2F446853">
              <w:rPr>
                <w:rFonts w:eastAsiaTheme="minorEastAsia"/>
                <w:b/>
                <w:bCs/>
                <w:color w:val="000000" w:themeColor="text1"/>
              </w:rPr>
              <w:t xml:space="preserve">Key learning points </w:t>
            </w:r>
          </w:p>
          <w:p w:rsidR="7628B980" w:rsidRDefault="2CB123D4" w:rsidP="2F446853">
            <w:pPr>
              <w:rPr>
                <w:rFonts w:eastAsiaTheme="minorEastAsia"/>
                <w:b/>
                <w:bCs/>
                <w:color w:val="000000" w:themeColor="text1"/>
              </w:rPr>
            </w:pPr>
            <w:r w:rsidRPr="2F446853">
              <w:rPr>
                <w:rFonts w:eastAsiaTheme="minorEastAsia"/>
                <w:b/>
                <w:bCs/>
                <w:color w:val="000000" w:themeColor="text1"/>
              </w:rPr>
              <w:t>(</w:t>
            </w:r>
            <w:r w:rsidR="14758DA7" w:rsidRPr="2F446853">
              <w:rPr>
                <w:rFonts w:eastAsiaTheme="minorEastAsia"/>
                <w:b/>
                <w:bCs/>
                <w:color w:val="000000" w:themeColor="text1"/>
              </w:rPr>
              <w:t>3</w:t>
            </w:r>
            <w:r w:rsidRPr="2F446853">
              <w:rPr>
                <w:rFonts w:eastAsiaTheme="minorEastAsia"/>
                <w:b/>
                <w:bCs/>
                <w:color w:val="000000" w:themeColor="text1"/>
              </w:rPr>
              <w:t>00 words)</w:t>
            </w:r>
          </w:p>
        </w:tc>
        <w:tc>
          <w:tcPr>
            <w:tcW w:w="6725" w:type="dxa"/>
            <w:shd w:val="clear" w:color="auto" w:fill="E7E7E7"/>
          </w:tcPr>
          <w:p w:rsidR="006407BB" w:rsidRDefault="006407BB" w:rsidP="006407BB">
            <w:pPr>
              <w:rPr>
                <w:color w:val="000000" w:themeColor="text1"/>
              </w:rPr>
            </w:pPr>
            <w:r>
              <w:rPr>
                <w:color w:val="000000" w:themeColor="text1"/>
              </w:rPr>
              <w:t>A professionally produced training video on recognizing the signs of symptoms of malnutrition is being developed.  This will be endorsed by the Care Inspectorate and Healthcare Improvement Scotland, with the aim that many care providers will include it within their mandatory training.</w:t>
            </w:r>
          </w:p>
          <w:p w:rsidR="006407BB" w:rsidRDefault="006407BB" w:rsidP="006407BB">
            <w:pPr>
              <w:rPr>
                <w:color w:val="000000" w:themeColor="text1"/>
              </w:rPr>
            </w:pPr>
          </w:p>
          <w:p w:rsidR="006407BB" w:rsidRPr="006407BB" w:rsidRDefault="006407BB" w:rsidP="006407BB">
            <w:pPr>
              <w:rPr>
                <w:color w:val="000000" w:themeColor="text1"/>
              </w:rPr>
            </w:pPr>
            <w:r w:rsidRPr="006407BB">
              <w:rPr>
                <w:color w:val="000000" w:themeColor="text1"/>
              </w:rPr>
              <w:t>There have been fewer calls to the advice line than expected.  This highlights the need for a communication plan to ensure greater awareness of the service.</w:t>
            </w:r>
            <w:r>
              <w:rPr>
                <w:color w:val="000000" w:themeColor="text1"/>
              </w:rPr>
              <w:t xml:space="preserve">  Red flag signs should be agreed to allow identification of those requiring urgent referral to other services.</w:t>
            </w:r>
          </w:p>
          <w:p w:rsidR="006407BB" w:rsidRPr="006407BB" w:rsidRDefault="006407BB" w:rsidP="006407BB">
            <w:pPr>
              <w:rPr>
                <w:color w:val="000000" w:themeColor="text1"/>
              </w:rPr>
            </w:pPr>
          </w:p>
          <w:p w:rsidR="006407BB" w:rsidRDefault="006407BB" w:rsidP="006407BB">
            <w:pPr>
              <w:rPr>
                <w:rFonts w:cs="Calibri"/>
              </w:rPr>
            </w:pPr>
            <w:r w:rsidRPr="006407BB">
              <w:rPr>
                <w:rFonts w:cs="Calibri"/>
              </w:rPr>
              <w:t>Many people offered Boost Boxes were given advice to fortify their milk.  Therefore, skimmed milk powder was later added to the boxes to make it easier to implement this advice.  Some of those referred for a box had often complex and chaotic lives and food insecurity was the main issue rather than poor appetite.    Availability of Boost Boxes needs to be continuously advertised to promote their use.</w:t>
            </w:r>
          </w:p>
          <w:p w:rsidR="006407BB" w:rsidRDefault="006407BB" w:rsidP="006407BB">
            <w:pPr>
              <w:rPr>
                <w:rFonts w:cs="Calibri"/>
              </w:rPr>
            </w:pPr>
          </w:p>
          <w:p w:rsidR="006407BB" w:rsidRPr="006407BB" w:rsidRDefault="006407BB" w:rsidP="006407BB">
            <w:pPr>
              <w:rPr>
                <w:color w:val="000000" w:themeColor="text1"/>
              </w:rPr>
            </w:pPr>
            <w:r>
              <w:rPr>
                <w:rFonts w:cs="Calibri"/>
              </w:rPr>
              <w:t>As restrictions ease, plans are in place to replicate the supper club in other areas across Dundee.</w:t>
            </w:r>
          </w:p>
          <w:p w:rsidR="006407BB" w:rsidRPr="006407BB" w:rsidRDefault="006407BB" w:rsidP="006407BB">
            <w:pPr>
              <w:rPr>
                <w:color w:val="000000" w:themeColor="text1"/>
              </w:rPr>
            </w:pPr>
          </w:p>
          <w:p w:rsidR="7628B980" w:rsidRDefault="7628B980" w:rsidP="2F446853">
            <w:pPr>
              <w:rPr>
                <w:rFonts w:ascii="Calibri" w:eastAsia="Calibri" w:hAnsi="Calibri" w:cs="Calibri"/>
                <w:color w:val="000000" w:themeColor="text1"/>
              </w:rPr>
            </w:pPr>
          </w:p>
        </w:tc>
      </w:tr>
      <w:tr w:rsidR="7628B980" w:rsidTr="7FFB4009">
        <w:trPr>
          <w:trHeight w:val="690"/>
        </w:trPr>
        <w:tc>
          <w:tcPr>
            <w:tcW w:w="2635" w:type="dxa"/>
            <w:tcBorders>
              <w:top w:val="single" w:sz="0" w:space="0" w:color="000000" w:themeColor="text1"/>
              <w:left w:val="single" w:sz="0" w:space="0" w:color="000000" w:themeColor="text1"/>
              <w:bottom w:val="single" w:sz="18" w:space="0" w:color="000000" w:themeColor="text1"/>
              <w:right w:val="single" w:sz="0" w:space="0" w:color="000000" w:themeColor="text1"/>
            </w:tcBorders>
            <w:shd w:val="clear" w:color="auto" w:fill="FFFFFF" w:themeFill="background1"/>
          </w:tcPr>
          <w:p w:rsidR="7628B980" w:rsidRDefault="2CB123D4" w:rsidP="2F446853">
            <w:pPr>
              <w:rPr>
                <w:rFonts w:eastAsiaTheme="minorEastAsia"/>
                <w:b/>
                <w:bCs/>
                <w:color w:val="000000" w:themeColor="text1"/>
              </w:rPr>
            </w:pPr>
            <w:r w:rsidRPr="2F446853">
              <w:rPr>
                <w:rFonts w:eastAsiaTheme="minorEastAsia"/>
                <w:b/>
                <w:bCs/>
                <w:color w:val="000000" w:themeColor="text1"/>
              </w:rPr>
              <w:t>References (max 6)</w:t>
            </w:r>
          </w:p>
        </w:tc>
        <w:tc>
          <w:tcPr>
            <w:tcW w:w="6725" w:type="dxa"/>
            <w:tcBorders>
              <w:top w:val="single" w:sz="0" w:space="0" w:color="000000" w:themeColor="text1"/>
              <w:left w:val="single" w:sz="0" w:space="0" w:color="000000" w:themeColor="text1"/>
              <w:bottom w:val="single" w:sz="18" w:space="0" w:color="000000" w:themeColor="text1"/>
              <w:right w:val="single" w:sz="0" w:space="0" w:color="000000" w:themeColor="text1"/>
            </w:tcBorders>
            <w:shd w:val="clear" w:color="auto" w:fill="FFFFFF" w:themeFill="background1"/>
          </w:tcPr>
          <w:p w:rsidR="00943E2B" w:rsidRDefault="00943E2B" w:rsidP="00943E2B">
            <w:pPr>
              <w:rPr>
                <w:rFonts w:eastAsiaTheme="minorEastAsia"/>
                <w:color w:val="000000" w:themeColor="text1"/>
              </w:rPr>
            </w:pPr>
            <w:r>
              <w:rPr>
                <w:rFonts w:eastAsiaTheme="minorEastAsia"/>
                <w:color w:val="000000" w:themeColor="text1"/>
              </w:rPr>
              <w:t xml:space="preserve">1. Malnutrition Task Force, 2017. Older people and malnutrition in the UK today.  Available from  </w:t>
            </w:r>
            <w:hyperlink r:id="rId6" w:history="1">
              <w:r w:rsidRPr="005551E5">
                <w:rPr>
                  <w:rStyle w:val="Hyperlink"/>
                  <w:rFonts w:eastAsiaTheme="minorEastAsia"/>
                </w:rPr>
                <w:t>https://www.malnutritiontaskforce.org.uk/sites/default/files/2019-09/State%20of%20the%20Nation.pdf</w:t>
              </w:r>
            </w:hyperlink>
            <w:r>
              <w:rPr>
                <w:rFonts w:eastAsiaTheme="minorEastAsia"/>
                <w:color w:val="000000" w:themeColor="text1"/>
              </w:rPr>
              <w:t>.  Accessed 27 January 2022.</w:t>
            </w:r>
          </w:p>
          <w:p w:rsidR="00943E2B" w:rsidRDefault="00943E2B" w:rsidP="00943E2B">
            <w:pPr>
              <w:rPr>
                <w:rFonts w:eastAsiaTheme="minorEastAsia"/>
                <w:color w:val="000000" w:themeColor="text1"/>
              </w:rPr>
            </w:pPr>
          </w:p>
          <w:p w:rsidR="009C7483" w:rsidRDefault="009C7483" w:rsidP="009C7483">
            <w:pPr>
              <w:rPr>
                <w:rFonts w:eastAsiaTheme="minorEastAsia"/>
                <w:color w:val="000000" w:themeColor="text1"/>
              </w:rPr>
            </w:pPr>
            <w:r>
              <w:rPr>
                <w:rFonts w:eastAsiaTheme="minorEastAsia"/>
                <w:color w:val="000000" w:themeColor="text1"/>
              </w:rPr>
              <w:t xml:space="preserve">2.  Malnutrition Pathway 2020. A Community Healthcare Professional Guide to the Nutritional </w:t>
            </w:r>
            <w:proofErr w:type="spellStart"/>
            <w:r>
              <w:rPr>
                <w:rFonts w:eastAsiaTheme="minorEastAsia"/>
                <w:color w:val="000000" w:themeColor="text1"/>
              </w:rPr>
              <w:t>Mnagement</w:t>
            </w:r>
            <w:proofErr w:type="spellEnd"/>
            <w:r>
              <w:rPr>
                <w:rFonts w:eastAsiaTheme="minorEastAsia"/>
                <w:color w:val="000000" w:themeColor="text1"/>
              </w:rPr>
              <w:t xml:space="preserve"> of Patients During and After COVID-19.  Available from  </w:t>
            </w:r>
            <w:hyperlink r:id="rId7" w:history="1">
              <w:r w:rsidRPr="00ED686C">
                <w:rPr>
                  <w:rStyle w:val="Hyperlink"/>
                  <w:rFonts w:eastAsiaTheme="minorEastAsia"/>
                </w:rPr>
                <w:t>https://www.malnutritionpathway.co.uk/covid19-community-hcp</w:t>
              </w:r>
            </w:hyperlink>
            <w:r>
              <w:rPr>
                <w:rFonts w:eastAsiaTheme="minorEastAsia"/>
              </w:rPr>
              <w:t>. Accessed 27 January 2022.</w:t>
            </w:r>
          </w:p>
          <w:p w:rsidR="009C7483" w:rsidRDefault="009C7483" w:rsidP="00943E2B">
            <w:pPr>
              <w:rPr>
                <w:rFonts w:eastAsiaTheme="minorEastAsia"/>
                <w:color w:val="000000" w:themeColor="text1"/>
              </w:rPr>
            </w:pPr>
          </w:p>
          <w:p w:rsidR="00943E2B" w:rsidRDefault="00943E2B" w:rsidP="00943E2B">
            <w:pPr>
              <w:rPr>
                <w:rFonts w:eastAsiaTheme="minorEastAsia"/>
                <w:color w:val="000000" w:themeColor="text1"/>
              </w:rPr>
            </w:pPr>
            <w:r>
              <w:rPr>
                <w:rFonts w:eastAsiaTheme="minorEastAsia"/>
                <w:color w:val="000000" w:themeColor="text1"/>
              </w:rPr>
              <w:t xml:space="preserve">3. Age UK, 2020.  Sounding the alarm about the rising risk of malnutrition among older people during lockdown.  Available from </w:t>
            </w:r>
            <w:hyperlink r:id="rId8" w:history="1">
              <w:r w:rsidRPr="005551E5">
                <w:rPr>
                  <w:rStyle w:val="Hyperlink"/>
                  <w:rFonts w:eastAsiaTheme="minorEastAsia"/>
                </w:rPr>
                <w:t>https://www.ageuk.org.uk/latest-press/articles/2020/05/sounding-the-alarm-about-the-rising-risk-of-malnutrition-among-older-people-during-lock-down/</w:t>
              </w:r>
            </w:hyperlink>
            <w:r>
              <w:rPr>
                <w:rFonts w:eastAsiaTheme="minorEastAsia"/>
                <w:color w:val="000000" w:themeColor="text1"/>
              </w:rPr>
              <w:t>. Accessed 27 January 2022.</w:t>
            </w:r>
          </w:p>
          <w:p w:rsidR="00943E2B" w:rsidRDefault="00943E2B" w:rsidP="00943E2B">
            <w:pPr>
              <w:rPr>
                <w:rFonts w:eastAsiaTheme="minorEastAsia"/>
                <w:color w:val="000000" w:themeColor="text1"/>
              </w:rPr>
            </w:pPr>
          </w:p>
          <w:p w:rsidR="00943E2B" w:rsidRPr="00943E2B" w:rsidRDefault="00943E2B" w:rsidP="00943E2B">
            <w:pPr>
              <w:rPr>
                <w:rFonts w:eastAsiaTheme="minorEastAsia"/>
                <w:color w:val="000000" w:themeColor="text1"/>
              </w:rPr>
            </w:pPr>
          </w:p>
          <w:p w:rsidR="7628B980" w:rsidRDefault="7628B980" w:rsidP="2F446853">
            <w:pPr>
              <w:rPr>
                <w:rFonts w:eastAsiaTheme="minorEastAsia"/>
                <w:lang w:val="en-GB"/>
              </w:rPr>
            </w:pPr>
          </w:p>
        </w:tc>
      </w:tr>
    </w:tbl>
    <w:p w:rsidR="7628B980" w:rsidRDefault="7628B980" w:rsidP="02819F87">
      <w:pPr>
        <w:rPr>
          <w:rFonts w:eastAsiaTheme="minorEastAsia"/>
        </w:rPr>
      </w:pPr>
    </w:p>
    <w:p w:rsidR="7628B980" w:rsidRDefault="3B20BAAA" w:rsidP="02819F87">
      <w:pPr>
        <w:rPr>
          <w:rFonts w:eastAsiaTheme="minorEastAsia"/>
        </w:rPr>
      </w:pPr>
      <w:r w:rsidRPr="02819F87">
        <w:rPr>
          <w:rFonts w:eastAsiaTheme="minorEastAsia"/>
        </w:rPr>
        <w:t xml:space="preserve">Please return your completed template to </w:t>
      </w:r>
      <w:hyperlink r:id="rId9">
        <w:r w:rsidRPr="02819F87">
          <w:rPr>
            <w:rStyle w:val="Hyperlink"/>
            <w:rFonts w:eastAsiaTheme="minorEastAsia"/>
          </w:rPr>
          <w:t>AHPs@phe.gov.uk</w:t>
        </w:r>
      </w:hyperlink>
      <w:r w:rsidRPr="02819F87">
        <w:rPr>
          <w:rFonts w:eastAsiaTheme="minorEastAsia"/>
        </w:rPr>
        <w:t xml:space="preserve"> for review.</w:t>
      </w:r>
    </w:p>
    <w:p w:rsidR="7628B980" w:rsidRDefault="7628B980" w:rsidP="02819F87">
      <w:pPr>
        <w:rPr>
          <w:rFonts w:eastAsiaTheme="minorEastAsia"/>
        </w:rPr>
      </w:pPr>
    </w:p>
    <w:p w:rsidR="20BC1429" w:rsidRDefault="497AB599" w:rsidP="02819F87">
      <w:pPr>
        <w:rPr>
          <w:rFonts w:eastAsiaTheme="minorEastAsia"/>
        </w:rPr>
      </w:pPr>
      <w:r w:rsidRPr="02819F87">
        <w:rPr>
          <w:rFonts w:eastAsiaTheme="minorEastAsia"/>
        </w:rPr>
        <w:t xml:space="preserve">We aim to respond to case study submissions within </w:t>
      </w:r>
      <w:r w:rsidR="73B0B1C9" w:rsidRPr="02819F87">
        <w:rPr>
          <w:rFonts w:eastAsiaTheme="minorEastAsia"/>
        </w:rPr>
        <w:t>8</w:t>
      </w:r>
      <w:r w:rsidRPr="02819F87">
        <w:rPr>
          <w:rFonts w:eastAsiaTheme="minorEastAsia"/>
        </w:rPr>
        <w:t xml:space="preserve"> weeks</w:t>
      </w:r>
      <w:r w:rsidR="2B9C0991" w:rsidRPr="02819F87">
        <w:rPr>
          <w:rFonts w:eastAsiaTheme="minorEastAsia"/>
        </w:rPr>
        <w:t>,</w:t>
      </w:r>
      <w:r w:rsidRPr="02819F87">
        <w:rPr>
          <w:rFonts w:eastAsiaTheme="minorEastAsia"/>
        </w:rPr>
        <w:t xml:space="preserve"> but please note that it may take </w:t>
      </w:r>
      <w:r w:rsidR="426C5083" w:rsidRPr="02819F87">
        <w:rPr>
          <w:rFonts w:eastAsiaTheme="minorEastAsia"/>
        </w:rPr>
        <w:t>longer to hear back.</w:t>
      </w:r>
      <w:r w:rsidRPr="02819F87">
        <w:rPr>
          <w:rFonts w:eastAsiaTheme="minorEastAsia"/>
        </w:rPr>
        <w:t xml:space="preserve">  </w:t>
      </w:r>
      <w:r w:rsidR="06DAE801" w:rsidRPr="02819F87">
        <w:rPr>
          <w:rFonts w:eastAsiaTheme="minorEastAsia"/>
        </w:rPr>
        <w:t xml:space="preserve">Please provide </w:t>
      </w:r>
      <w:r w:rsidR="5DD24CB3" w:rsidRPr="02819F87">
        <w:rPr>
          <w:rFonts w:eastAsiaTheme="minorEastAsia"/>
        </w:rPr>
        <w:t xml:space="preserve">two </w:t>
      </w:r>
      <w:r w:rsidR="06DAE801" w:rsidRPr="02819F87">
        <w:rPr>
          <w:rFonts w:eastAsiaTheme="minorEastAsia"/>
        </w:rPr>
        <w:t>email address</w:t>
      </w:r>
      <w:r w:rsidR="315DBF95" w:rsidRPr="02819F87">
        <w:rPr>
          <w:rFonts w:eastAsiaTheme="minorEastAsia"/>
        </w:rPr>
        <w:t>es</w:t>
      </w:r>
      <w:r w:rsidR="06DAE801" w:rsidRPr="02819F87">
        <w:rPr>
          <w:rFonts w:eastAsiaTheme="minorEastAsia"/>
        </w:rPr>
        <w:t xml:space="preserve"> in the contact section above to ensure that we are able to contact you if you change</w:t>
      </w:r>
      <w:r w:rsidR="5985C214" w:rsidRPr="02819F87">
        <w:rPr>
          <w:rFonts w:eastAsiaTheme="minorEastAsia"/>
        </w:rPr>
        <w:t xml:space="preserve"> </w:t>
      </w:r>
      <w:r w:rsidR="06DAE801" w:rsidRPr="02819F87">
        <w:rPr>
          <w:rFonts w:eastAsiaTheme="minorEastAsia"/>
        </w:rPr>
        <w:t xml:space="preserve">workplace or email during this time. </w:t>
      </w:r>
    </w:p>
    <w:p w:rsidR="7628B980" w:rsidRDefault="7628B980" w:rsidP="02819F87">
      <w:pPr>
        <w:rPr>
          <w:rFonts w:eastAsiaTheme="minorEastAsia"/>
        </w:rPr>
      </w:pPr>
    </w:p>
    <w:p w:rsidR="7628B980" w:rsidRDefault="06DAE801" w:rsidP="7FFB4009">
      <w:pPr>
        <w:jc w:val="center"/>
        <w:rPr>
          <w:rFonts w:eastAsiaTheme="minorEastAsia"/>
          <w:b/>
          <w:bCs/>
          <w:i/>
          <w:iCs/>
        </w:rPr>
      </w:pPr>
      <w:r w:rsidRPr="7FFB4009">
        <w:rPr>
          <w:rFonts w:eastAsiaTheme="minorEastAsia"/>
          <w:b/>
          <w:bCs/>
          <w:i/>
          <w:iCs/>
        </w:rPr>
        <w:t xml:space="preserve">Thank you for taking the time to submit </w:t>
      </w:r>
      <w:r w:rsidR="21313723" w:rsidRPr="7FFB4009">
        <w:rPr>
          <w:rFonts w:eastAsiaTheme="minorEastAsia"/>
          <w:b/>
          <w:bCs/>
          <w:i/>
          <w:iCs/>
        </w:rPr>
        <w:t xml:space="preserve">this </w:t>
      </w:r>
      <w:r w:rsidRPr="7FFB4009">
        <w:rPr>
          <w:rFonts w:eastAsiaTheme="minorEastAsia"/>
          <w:b/>
          <w:bCs/>
          <w:i/>
          <w:iCs/>
        </w:rPr>
        <w:t>case study.</w:t>
      </w:r>
    </w:p>
    <w:sectPr w:rsidR="7628B980" w:rsidSect="0027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ij0xKRPoM2C/ez" id="gapQDf+k"/>
  </int:Manifest>
  <int:Observations>
    <int:Content id="gapQD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B6F"/>
    <w:multiLevelType w:val="hybridMultilevel"/>
    <w:tmpl w:val="601C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71E72"/>
    <w:multiLevelType w:val="hybridMultilevel"/>
    <w:tmpl w:val="49C202AC"/>
    <w:lvl w:ilvl="0" w:tplc="D306185A">
      <w:start w:val="1"/>
      <w:numFmt w:val="decimal"/>
      <w:lvlText w:val="%1."/>
      <w:lvlJc w:val="left"/>
      <w:pPr>
        <w:ind w:left="720" w:hanging="360"/>
      </w:pPr>
    </w:lvl>
    <w:lvl w:ilvl="1" w:tplc="A096109E">
      <w:start w:val="1"/>
      <w:numFmt w:val="lowerLetter"/>
      <w:lvlText w:val="%2."/>
      <w:lvlJc w:val="left"/>
      <w:pPr>
        <w:ind w:left="1440" w:hanging="360"/>
      </w:pPr>
    </w:lvl>
    <w:lvl w:ilvl="2" w:tplc="FBFA41A2">
      <w:start w:val="1"/>
      <w:numFmt w:val="lowerRoman"/>
      <w:lvlText w:val="%3."/>
      <w:lvlJc w:val="right"/>
      <w:pPr>
        <w:ind w:left="2160" w:hanging="180"/>
      </w:pPr>
    </w:lvl>
    <w:lvl w:ilvl="3" w:tplc="2E609F36">
      <w:start w:val="1"/>
      <w:numFmt w:val="decimal"/>
      <w:lvlText w:val="%4."/>
      <w:lvlJc w:val="left"/>
      <w:pPr>
        <w:ind w:left="2880" w:hanging="360"/>
      </w:pPr>
    </w:lvl>
    <w:lvl w:ilvl="4" w:tplc="881889B6">
      <w:start w:val="1"/>
      <w:numFmt w:val="lowerLetter"/>
      <w:lvlText w:val="%5."/>
      <w:lvlJc w:val="left"/>
      <w:pPr>
        <w:ind w:left="3600" w:hanging="360"/>
      </w:pPr>
    </w:lvl>
    <w:lvl w:ilvl="5" w:tplc="7DCC9612">
      <w:start w:val="1"/>
      <w:numFmt w:val="lowerRoman"/>
      <w:lvlText w:val="%6."/>
      <w:lvlJc w:val="right"/>
      <w:pPr>
        <w:ind w:left="4320" w:hanging="180"/>
      </w:pPr>
    </w:lvl>
    <w:lvl w:ilvl="6" w:tplc="B1882DAA">
      <w:start w:val="1"/>
      <w:numFmt w:val="decimal"/>
      <w:lvlText w:val="%7."/>
      <w:lvlJc w:val="left"/>
      <w:pPr>
        <w:ind w:left="5040" w:hanging="360"/>
      </w:pPr>
    </w:lvl>
    <w:lvl w:ilvl="7" w:tplc="21E0D432">
      <w:start w:val="1"/>
      <w:numFmt w:val="lowerLetter"/>
      <w:lvlText w:val="%8."/>
      <w:lvlJc w:val="left"/>
      <w:pPr>
        <w:ind w:left="5760" w:hanging="360"/>
      </w:pPr>
    </w:lvl>
    <w:lvl w:ilvl="8" w:tplc="0E5C1D16">
      <w:start w:val="1"/>
      <w:numFmt w:val="lowerRoman"/>
      <w:lvlText w:val="%9."/>
      <w:lvlJc w:val="right"/>
      <w:pPr>
        <w:ind w:left="6480" w:hanging="180"/>
      </w:pPr>
    </w:lvl>
  </w:abstractNum>
  <w:abstractNum w:abstractNumId="2" w15:restartNumberingAfterBreak="0">
    <w:nsid w:val="17931B9B"/>
    <w:multiLevelType w:val="hybridMultilevel"/>
    <w:tmpl w:val="9CFCDFE6"/>
    <w:lvl w:ilvl="0" w:tplc="179AF3BE">
      <w:start w:val="1"/>
      <w:numFmt w:val="bullet"/>
      <w:lvlText w:val=""/>
      <w:lvlJc w:val="left"/>
      <w:pPr>
        <w:ind w:left="720" w:hanging="360"/>
      </w:pPr>
      <w:rPr>
        <w:rFonts w:ascii="Symbol" w:hAnsi="Symbol" w:hint="default"/>
      </w:rPr>
    </w:lvl>
    <w:lvl w:ilvl="1" w:tplc="7E76FEF8">
      <w:start w:val="1"/>
      <w:numFmt w:val="bullet"/>
      <w:lvlText w:val="o"/>
      <w:lvlJc w:val="left"/>
      <w:pPr>
        <w:ind w:left="1440" w:hanging="360"/>
      </w:pPr>
      <w:rPr>
        <w:rFonts w:ascii="Courier New" w:hAnsi="Courier New" w:hint="default"/>
      </w:rPr>
    </w:lvl>
    <w:lvl w:ilvl="2" w:tplc="199E014E">
      <w:start w:val="1"/>
      <w:numFmt w:val="bullet"/>
      <w:lvlText w:val=""/>
      <w:lvlJc w:val="left"/>
      <w:pPr>
        <w:ind w:left="2160" w:hanging="360"/>
      </w:pPr>
      <w:rPr>
        <w:rFonts w:ascii="Wingdings" w:hAnsi="Wingdings" w:hint="default"/>
      </w:rPr>
    </w:lvl>
    <w:lvl w:ilvl="3" w:tplc="51AC974C">
      <w:start w:val="1"/>
      <w:numFmt w:val="bullet"/>
      <w:lvlText w:val=""/>
      <w:lvlJc w:val="left"/>
      <w:pPr>
        <w:ind w:left="2880" w:hanging="360"/>
      </w:pPr>
      <w:rPr>
        <w:rFonts w:ascii="Symbol" w:hAnsi="Symbol" w:hint="default"/>
      </w:rPr>
    </w:lvl>
    <w:lvl w:ilvl="4" w:tplc="BD481A8A">
      <w:start w:val="1"/>
      <w:numFmt w:val="bullet"/>
      <w:lvlText w:val="o"/>
      <w:lvlJc w:val="left"/>
      <w:pPr>
        <w:ind w:left="3600" w:hanging="360"/>
      </w:pPr>
      <w:rPr>
        <w:rFonts w:ascii="Courier New" w:hAnsi="Courier New" w:hint="default"/>
      </w:rPr>
    </w:lvl>
    <w:lvl w:ilvl="5" w:tplc="7B2854CC">
      <w:start w:val="1"/>
      <w:numFmt w:val="bullet"/>
      <w:lvlText w:val=""/>
      <w:lvlJc w:val="left"/>
      <w:pPr>
        <w:ind w:left="4320" w:hanging="360"/>
      </w:pPr>
      <w:rPr>
        <w:rFonts w:ascii="Wingdings" w:hAnsi="Wingdings" w:hint="default"/>
      </w:rPr>
    </w:lvl>
    <w:lvl w:ilvl="6" w:tplc="86C47384">
      <w:start w:val="1"/>
      <w:numFmt w:val="bullet"/>
      <w:lvlText w:val=""/>
      <w:lvlJc w:val="left"/>
      <w:pPr>
        <w:ind w:left="5040" w:hanging="360"/>
      </w:pPr>
      <w:rPr>
        <w:rFonts w:ascii="Symbol" w:hAnsi="Symbol" w:hint="default"/>
      </w:rPr>
    </w:lvl>
    <w:lvl w:ilvl="7" w:tplc="FA3EBFE2">
      <w:start w:val="1"/>
      <w:numFmt w:val="bullet"/>
      <w:lvlText w:val="o"/>
      <w:lvlJc w:val="left"/>
      <w:pPr>
        <w:ind w:left="5760" w:hanging="360"/>
      </w:pPr>
      <w:rPr>
        <w:rFonts w:ascii="Courier New" w:hAnsi="Courier New" w:hint="default"/>
      </w:rPr>
    </w:lvl>
    <w:lvl w:ilvl="8" w:tplc="B6CAE730">
      <w:start w:val="1"/>
      <w:numFmt w:val="bullet"/>
      <w:lvlText w:val=""/>
      <w:lvlJc w:val="left"/>
      <w:pPr>
        <w:ind w:left="6480" w:hanging="360"/>
      </w:pPr>
      <w:rPr>
        <w:rFonts w:ascii="Wingdings" w:hAnsi="Wingdings" w:hint="default"/>
      </w:rPr>
    </w:lvl>
  </w:abstractNum>
  <w:abstractNum w:abstractNumId="3" w15:restartNumberingAfterBreak="0">
    <w:nsid w:val="17E25FF0"/>
    <w:multiLevelType w:val="hybridMultilevel"/>
    <w:tmpl w:val="97DE94F8"/>
    <w:lvl w:ilvl="0" w:tplc="91D64C7A">
      <w:start w:val="1"/>
      <w:numFmt w:val="bullet"/>
      <w:lvlText w:val=""/>
      <w:lvlJc w:val="left"/>
      <w:pPr>
        <w:ind w:left="720" w:hanging="360"/>
      </w:pPr>
      <w:rPr>
        <w:rFonts w:ascii="Symbol" w:hAnsi="Symbol" w:hint="default"/>
      </w:rPr>
    </w:lvl>
    <w:lvl w:ilvl="1" w:tplc="38F80004">
      <w:start w:val="1"/>
      <w:numFmt w:val="bullet"/>
      <w:lvlText w:val="o"/>
      <w:lvlJc w:val="left"/>
      <w:pPr>
        <w:ind w:left="1440" w:hanging="360"/>
      </w:pPr>
      <w:rPr>
        <w:rFonts w:ascii="Courier New" w:hAnsi="Courier New" w:hint="default"/>
      </w:rPr>
    </w:lvl>
    <w:lvl w:ilvl="2" w:tplc="F46A0628">
      <w:start w:val="1"/>
      <w:numFmt w:val="bullet"/>
      <w:lvlText w:val=""/>
      <w:lvlJc w:val="left"/>
      <w:pPr>
        <w:ind w:left="2160" w:hanging="360"/>
      </w:pPr>
      <w:rPr>
        <w:rFonts w:ascii="Wingdings" w:hAnsi="Wingdings" w:hint="default"/>
      </w:rPr>
    </w:lvl>
    <w:lvl w:ilvl="3" w:tplc="8FB22CB6">
      <w:start w:val="1"/>
      <w:numFmt w:val="bullet"/>
      <w:lvlText w:val=""/>
      <w:lvlJc w:val="left"/>
      <w:pPr>
        <w:ind w:left="2880" w:hanging="360"/>
      </w:pPr>
      <w:rPr>
        <w:rFonts w:ascii="Symbol" w:hAnsi="Symbol" w:hint="default"/>
      </w:rPr>
    </w:lvl>
    <w:lvl w:ilvl="4" w:tplc="A77835E8">
      <w:start w:val="1"/>
      <w:numFmt w:val="bullet"/>
      <w:lvlText w:val="o"/>
      <w:lvlJc w:val="left"/>
      <w:pPr>
        <w:ind w:left="3600" w:hanging="360"/>
      </w:pPr>
      <w:rPr>
        <w:rFonts w:ascii="Courier New" w:hAnsi="Courier New" w:hint="default"/>
      </w:rPr>
    </w:lvl>
    <w:lvl w:ilvl="5" w:tplc="6E1CC464">
      <w:start w:val="1"/>
      <w:numFmt w:val="bullet"/>
      <w:lvlText w:val=""/>
      <w:lvlJc w:val="left"/>
      <w:pPr>
        <w:ind w:left="4320" w:hanging="360"/>
      </w:pPr>
      <w:rPr>
        <w:rFonts w:ascii="Wingdings" w:hAnsi="Wingdings" w:hint="default"/>
      </w:rPr>
    </w:lvl>
    <w:lvl w:ilvl="6" w:tplc="B7361A1A">
      <w:start w:val="1"/>
      <w:numFmt w:val="bullet"/>
      <w:lvlText w:val=""/>
      <w:lvlJc w:val="left"/>
      <w:pPr>
        <w:ind w:left="5040" w:hanging="360"/>
      </w:pPr>
      <w:rPr>
        <w:rFonts w:ascii="Symbol" w:hAnsi="Symbol" w:hint="default"/>
      </w:rPr>
    </w:lvl>
    <w:lvl w:ilvl="7" w:tplc="A996521C">
      <w:start w:val="1"/>
      <w:numFmt w:val="bullet"/>
      <w:lvlText w:val="o"/>
      <w:lvlJc w:val="left"/>
      <w:pPr>
        <w:ind w:left="5760" w:hanging="360"/>
      </w:pPr>
      <w:rPr>
        <w:rFonts w:ascii="Courier New" w:hAnsi="Courier New" w:hint="default"/>
      </w:rPr>
    </w:lvl>
    <w:lvl w:ilvl="8" w:tplc="6E0E8EB2">
      <w:start w:val="1"/>
      <w:numFmt w:val="bullet"/>
      <w:lvlText w:val=""/>
      <w:lvlJc w:val="left"/>
      <w:pPr>
        <w:ind w:left="6480" w:hanging="360"/>
      </w:pPr>
      <w:rPr>
        <w:rFonts w:ascii="Wingdings" w:hAnsi="Wingdings" w:hint="default"/>
      </w:rPr>
    </w:lvl>
  </w:abstractNum>
  <w:abstractNum w:abstractNumId="4" w15:restartNumberingAfterBreak="0">
    <w:nsid w:val="23E123F7"/>
    <w:multiLevelType w:val="hybridMultilevel"/>
    <w:tmpl w:val="8F36A12C"/>
    <w:lvl w:ilvl="0" w:tplc="96305B4E">
      <w:start w:val="1"/>
      <w:numFmt w:val="bullet"/>
      <w:lvlText w:val=""/>
      <w:lvlJc w:val="left"/>
      <w:pPr>
        <w:ind w:left="720" w:hanging="360"/>
      </w:pPr>
      <w:rPr>
        <w:rFonts w:ascii="Symbol" w:hAnsi="Symbol" w:hint="default"/>
      </w:rPr>
    </w:lvl>
    <w:lvl w:ilvl="1" w:tplc="5CAA731A">
      <w:start w:val="1"/>
      <w:numFmt w:val="bullet"/>
      <w:lvlText w:val="o"/>
      <w:lvlJc w:val="left"/>
      <w:pPr>
        <w:ind w:left="1440" w:hanging="360"/>
      </w:pPr>
      <w:rPr>
        <w:rFonts w:ascii="Courier New" w:hAnsi="Courier New" w:hint="default"/>
      </w:rPr>
    </w:lvl>
    <w:lvl w:ilvl="2" w:tplc="3E8A988C">
      <w:start w:val="1"/>
      <w:numFmt w:val="bullet"/>
      <w:lvlText w:val=""/>
      <w:lvlJc w:val="left"/>
      <w:pPr>
        <w:ind w:left="2160" w:hanging="360"/>
      </w:pPr>
      <w:rPr>
        <w:rFonts w:ascii="Wingdings" w:hAnsi="Wingdings" w:hint="default"/>
      </w:rPr>
    </w:lvl>
    <w:lvl w:ilvl="3" w:tplc="AA40FE1C">
      <w:start w:val="1"/>
      <w:numFmt w:val="bullet"/>
      <w:lvlText w:val=""/>
      <w:lvlJc w:val="left"/>
      <w:pPr>
        <w:ind w:left="2880" w:hanging="360"/>
      </w:pPr>
      <w:rPr>
        <w:rFonts w:ascii="Symbol" w:hAnsi="Symbol" w:hint="default"/>
      </w:rPr>
    </w:lvl>
    <w:lvl w:ilvl="4" w:tplc="2946F188">
      <w:start w:val="1"/>
      <w:numFmt w:val="bullet"/>
      <w:lvlText w:val="o"/>
      <w:lvlJc w:val="left"/>
      <w:pPr>
        <w:ind w:left="3600" w:hanging="360"/>
      </w:pPr>
      <w:rPr>
        <w:rFonts w:ascii="Courier New" w:hAnsi="Courier New" w:hint="default"/>
      </w:rPr>
    </w:lvl>
    <w:lvl w:ilvl="5" w:tplc="B77227D8">
      <w:start w:val="1"/>
      <w:numFmt w:val="bullet"/>
      <w:lvlText w:val=""/>
      <w:lvlJc w:val="left"/>
      <w:pPr>
        <w:ind w:left="4320" w:hanging="360"/>
      </w:pPr>
      <w:rPr>
        <w:rFonts w:ascii="Wingdings" w:hAnsi="Wingdings" w:hint="default"/>
      </w:rPr>
    </w:lvl>
    <w:lvl w:ilvl="6" w:tplc="0E8431C4">
      <w:start w:val="1"/>
      <w:numFmt w:val="bullet"/>
      <w:lvlText w:val=""/>
      <w:lvlJc w:val="left"/>
      <w:pPr>
        <w:ind w:left="5040" w:hanging="360"/>
      </w:pPr>
      <w:rPr>
        <w:rFonts w:ascii="Symbol" w:hAnsi="Symbol" w:hint="default"/>
      </w:rPr>
    </w:lvl>
    <w:lvl w:ilvl="7" w:tplc="7FFA0852">
      <w:start w:val="1"/>
      <w:numFmt w:val="bullet"/>
      <w:lvlText w:val="o"/>
      <w:lvlJc w:val="left"/>
      <w:pPr>
        <w:ind w:left="5760" w:hanging="360"/>
      </w:pPr>
      <w:rPr>
        <w:rFonts w:ascii="Courier New" w:hAnsi="Courier New" w:hint="default"/>
      </w:rPr>
    </w:lvl>
    <w:lvl w:ilvl="8" w:tplc="85B88B9A">
      <w:start w:val="1"/>
      <w:numFmt w:val="bullet"/>
      <w:lvlText w:val=""/>
      <w:lvlJc w:val="left"/>
      <w:pPr>
        <w:ind w:left="6480" w:hanging="360"/>
      </w:pPr>
      <w:rPr>
        <w:rFonts w:ascii="Wingdings" w:hAnsi="Wingdings" w:hint="default"/>
      </w:rPr>
    </w:lvl>
  </w:abstractNum>
  <w:abstractNum w:abstractNumId="5" w15:restartNumberingAfterBreak="0">
    <w:nsid w:val="3D977DBB"/>
    <w:multiLevelType w:val="hybridMultilevel"/>
    <w:tmpl w:val="1C984F16"/>
    <w:lvl w:ilvl="0" w:tplc="08090015">
      <w:start w:val="1"/>
      <w:numFmt w:val="upp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436ED"/>
    <w:multiLevelType w:val="hybridMultilevel"/>
    <w:tmpl w:val="BD4E0B5C"/>
    <w:lvl w:ilvl="0" w:tplc="3ED6EEB4">
      <w:start w:val="1"/>
      <w:numFmt w:val="bullet"/>
      <w:lvlText w:val=""/>
      <w:lvlJc w:val="left"/>
      <w:pPr>
        <w:ind w:left="720" w:hanging="360"/>
      </w:pPr>
      <w:rPr>
        <w:rFonts w:ascii="Symbol" w:hAnsi="Symbol" w:hint="default"/>
      </w:rPr>
    </w:lvl>
    <w:lvl w:ilvl="1" w:tplc="FA44CC0E">
      <w:start w:val="1"/>
      <w:numFmt w:val="bullet"/>
      <w:lvlText w:val="o"/>
      <w:lvlJc w:val="left"/>
      <w:pPr>
        <w:ind w:left="1440" w:hanging="360"/>
      </w:pPr>
      <w:rPr>
        <w:rFonts w:ascii="Courier New" w:hAnsi="Courier New" w:hint="default"/>
      </w:rPr>
    </w:lvl>
    <w:lvl w:ilvl="2" w:tplc="B03EBD56">
      <w:start w:val="1"/>
      <w:numFmt w:val="bullet"/>
      <w:lvlText w:val=""/>
      <w:lvlJc w:val="left"/>
      <w:pPr>
        <w:ind w:left="2160" w:hanging="360"/>
      </w:pPr>
      <w:rPr>
        <w:rFonts w:ascii="Wingdings" w:hAnsi="Wingdings" w:hint="default"/>
      </w:rPr>
    </w:lvl>
    <w:lvl w:ilvl="3" w:tplc="00D65DA2">
      <w:start w:val="1"/>
      <w:numFmt w:val="bullet"/>
      <w:lvlText w:val=""/>
      <w:lvlJc w:val="left"/>
      <w:pPr>
        <w:ind w:left="2880" w:hanging="360"/>
      </w:pPr>
      <w:rPr>
        <w:rFonts w:ascii="Symbol" w:hAnsi="Symbol" w:hint="default"/>
      </w:rPr>
    </w:lvl>
    <w:lvl w:ilvl="4" w:tplc="76C02D68">
      <w:start w:val="1"/>
      <w:numFmt w:val="bullet"/>
      <w:lvlText w:val="o"/>
      <w:lvlJc w:val="left"/>
      <w:pPr>
        <w:ind w:left="3600" w:hanging="360"/>
      </w:pPr>
      <w:rPr>
        <w:rFonts w:ascii="Courier New" w:hAnsi="Courier New" w:hint="default"/>
      </w:rPr>
    </w:lvl>
    <w:lvl w:ilvl="5" w:tplc="5B740B2E">
      <w:start w:val="1"/>
      <w:numFmt w:val="bullet"/>
      <w:lvlText w:val=""/>
      <w:lvlJc w:val="left"/>
      <w:pPr>
        <w:ind w:left="4320" w:hanging="360"/>
      </w:pPr>
      <w:rPr>
        <w:rFonts w:ascii="Wingdings" w:hAnsi="Wingdings" w:hint="default"/>
      </w:rPr>
    </w:lvl>
    <w:lvl w:ilvl="6" w:tplc="2646A03E">
      <w:start w:val="1"/>
      <w:numFmt w:val="bullet"/>
      <w:lvlText w:val=""/>
      <w:lvlJc w:val="left"/>
      <w:pPr>
        <w:ind w:left="5040" w:hanging="360"/>
      </w:pPr>
      <w:rPr>
        <w:rFonts w:ascii="Symbol" w:hAnsi="Symbol" w:hint="default"/>
      </w:rPr>
    </w:lvl>
    <w:lvl w:ilvl="7" w:tplc="1A2C78EE">
      <w:start w:val="1"/>
      <w:numFmt w:val="bullet"/>
      <w:lvlText w:val="o"/>
      <w:lvlJc w:val="left"/>
      <w:pPr>
        <w:ind w:left="5760" w:hanging="360"/>
      </w:pPr>
      <w:rPr>
        <w:rFonts w:ascii="Courier New" w:hAnsi="Courier New" w:hint="default"/>
      </w:rPr>
    </w:lvl>
    <w:lvl w:ilvl="8" w:tplc="AC42116E">
      <w:start w:val="1"/>
      <w:numFmt w:val="bullet"/>
      <w:lvlText w:val=""/>
      <w:lvlJc w:val="left"/>
      <w:pPr>
        <w:ind w:left="6480" w:hanging="360"/>
      </w:pPr>
      <w:rPr>
        <w:rFonts w:ascii="Wingdings" w:hAnsi="Wingdings" w:hint="default"/>
      </w:rPr>
    </w:lvl>
  </w:abstractNum>
  <w:abstractNum w:abstractNumId="7" w15:restartNumberingAfterBreak="0">
    <w:nsid w:val="769C040A"/>
    <w:multiLevelType w:val="hybridMultilevel"/>
    <w:tmpl w:val="4F10782E"/>
    <w:lvl w:ilvl="0" w:tplc="F6302694">
      <w:start w:val="1"/>
      <w:numFmt w:val="bullet"/>
      <w:lvlText w:val=""/>
      <w:lvlJc w:val="left"/>
      <w:pPr>
        <w:ind w:left="720" w:hanging="360"/>
      </w:pPr>
      <w:rPr>
        <w:rFonts w:ascii="Symbol" w:hAnsi="Symbol" w:hint="default"/>
      </w:rPr>
    </w:lvl>
    <w:lvl w:ilvl="1" w:tplc="541AE316">
      <w:start w:val="1"/>
      <w:numFmt w:val="bullet"/>
      <w:lvlText w:val="o"/>
      <w:lvlJc w:val="left"/>
      <w:pPr>
        <w:ind w:left="1440" w:hanging="360"/>
      </w:pPr>
      <w:rPr>
        <w:rFonts w:ascii="Courier New" w:hAnsi="Courier New" w:hint="default"/>
      </w:rPr>
    </w:lvl>
    <w:lvl w:ilvl="2" w:tplc="5B707136">
      <w:start w:val="1"/>
      <w:numFmt w:val="bullet"/>
      <w:lvlText w:val=""/>
      <w:lvlJc w:val="left"/>
      <w:pPr>
        <w:ind w:left="2160" w:hanging="360"/>
      </w:pPr>
      <w:rPr>
        <w:rFonts w:ascii="Wingdings" w:hAnsi="Wingdings" w:hint="default"/>
      </w:rPr>
    </w:lvl>
    <w:lvl w:ilvl="3" w:tplc="97E6D314">
      <w:start w:val="1"/>
      <w:numFmt w:val="bullet"/>
      <w:lvlText w:val=""/>
      <w:lvlJc w:val="left"/>
      <w:pPr>
        <w:ind w:left="2880" w:hanging="360"/>
      </w:pPr>
      <w:rPr>
        <w:rFonts w:ascii="Symbol" w:hAnsi="Symbol" w:hint="default"/>
      </w:rPr>
    </w:lvl>
    <w:lvl w:ilvl="4" w:tplc="2C7CEBE6">
      <w:start w:val="1"/>
      <w:numFmt w:val="bullet"/>
      <w:lvlText w:val="o"/>
      <w:lvlJc w:val="left"/>
      <w:pPr>
        <w:ind w:left="3600" w:hanging="360"/>
      </w:pPr>
      <w:rPr>
        <w:rFonts w:ascii="Courier New" w:hAnsi="Courier New" w:hint="default"/>
      </w:rPr>
    </w:lvl>
    <w:lvl w:ilvl="5" w:tplc="98FA14D0">
      <w:start w:val="1"/>
      <w:numFmt w:val="bullet"/>
      <w:lvlText w:val=""/>
      <w:lvlJc w:val="left"/>
      <w:pPr>
        <w:ind w:left="4320" w:hanging="360"/>
      </w:pPr>
      <w:rPr>
        <w:rFonts w:ascii="Wingdings" w:hAnsi="Wingdings" w:hint="default"/>
      </w:rPr>
    </w:lvl>
    <w:lvl w:ilvl="6" w:tplc="E3B09C34">
      <w:start w:val="1"/>
      <w:numFmt w:val="bullet"/>
      <w:lvlText w:val=""/>
      <w:lvlJc w:val="left"/>
      <w:pPr>
        <w:ind w:left="5040" w:hanging="360"/>
      </w:pPr>
      <w:rPr>
        <w:rFonts w:ascii="Symbol" w:hAnsi="Symbol" w:hint="default"/>
      </w:rPr>
    </w:lvl>
    <w:lvl w:ilvl="7" w:tplc="13D4F05A">
      <w:start w:val="1"/>
      <w:numFmt w:val="bullet"/>
      <w:lvlText w:val="o"/>
      <w:lvlJc w:val="left"/>
      <w:pPr>
        <w:ind w:left="5760" w:hanging="360"/>
      </w:pPr>
      <w:rPr>
        <w:rFonts w:ascii="Courier New" w:hAnsi="Courier New" w:hint="default"/>
      </w:rPr>
    </w:lvl>
    <w:lvl w:ilvl="8" w:tplc="43F0ADA4">
      <w:start w:val="1"/>
      <w:numFmt w:val="bullet"/>
      <w:lvlText w:val=""/>
      <w:lvlJc w:val="left"/>
      <w:pPr>
        <w:ind w:left="6480" w:hanging="360"/>
      </w:pPr>
      <w:rPr>
        <w:rFonts w:ascii="Wingdings" w:hAnsi="Wingdings" w:hint="default"/>
      </w:rPr>
    </w:lvl>
  </w:abstractNum>
  <w:abstractNum w:abstractNumId="8" w15:restartNumberingAfterBreak="0">
    <w:nsid w:val="7EB06BD0"/>
    <w:multiLevelType w:val="hybridMultilevel"/>
    <w:tmpl w:val="1DAE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76596">
    <w:abstractNumId w:val="4"/>
  </w:num>
  <w:num w:numId="2" w16cid:durableId="244727921">
    <w:abstractNumId w:val="2"/>
  </w:num>
  <w:num w:numId="3" w16cid:durableId="1741321426">
    <w:abstractNumId w:val="6"/>
  </w:num>
  <w:num w:numId="4" w16cid:durableId="1552037741">
    <w:abstractNumId w:val="3"/>
  </w:num>
  <w:num w:numId="5" w16cid:durableId="686366091">
    <w:abstractNumId w:val="7"/>
  </w:num>
  <w:num w:numId="6" w16cid:durableId="273556004">
    <w:abstractNumId w:val="1"/>
  </w:num>
  <w:num w:numId="7" w16cid:durableId="361443331">
    <w:abstractNumId w:val="8"/>
  </w:num>
  <w:num w:numId="8" w16cid:durableId="1368947635">
    <w:abstractNumId w:val="0"/>
  </w:num>
  <w:num w:numId="9" w16cid:durableId="361129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565DA7"/>
    <w:rsid w:val="0000117D"/>
    <w:rsid w:val="000C54E7"/>
    <w:rsid w:val="00165F77"/>
    <w:rsid w:val="00184F28"/>
    <w:rsid w:val="00271627"/>
    <w:rsid w:val="0033481C"/>
    <w:rsid w:val="00430A9A"/>
    <w:rsid w:val="004C71A2"/>
    <w:rsid w:val="004F13E2"/>
    <w:rsid w:val="0054A565"/>
    <w:rsid w:val="00583491"/>
    <w:rsid w:val="006407BB"/>
    <w:rsid w:val="007706D9"/>
    <w:rsid w:val="0077C133"/>
    <w:rsid w:val="007E45A3"/>
    <w:rsid w:val="008C11FD"/>
    <w:rsid w:val="00943024"/>
    <w:rsid w:val="00943E2B"/>
    <w:rsid w:val="009B4D36"/>
    <w:rsid w:val="009C7483"/>
    <w:rsid w:val="00A91CD3"/>
    <w:rsid w:val="00AAF7CB"/>
    <w:rsid w:val="00AC39B7"/>
    <w:rsid w:val="00B233BD"/>
    <w:rsid w:val="00CA2083"/>
    <w:rsid w:val="00CF2814"/>
    <w:rsid w:val="00DB20C8"/>
    <w:rsid w:val="00E57345"/>
    <w:rsid w:val="00E85521"/>
    <w:rsid w:val="00E97F81"/>
    <w:rsid w:val="00ED2944"/>
    <w:rsid w:val="01D83823"/>
    <w:rsid w:val="02008FE5"/>
    <w:rsid w:val="02433E2B"/>
    <w:rsid w:val="02819F87"/>
    <w:rsid w:val="037905B0"/>
    <w:rsid w:val="039C2CC2"/>
    <w:rsid w:val="03DE7A0F"/>
    <w:rsid w:val="03FD7C7B"/>
    <w:rsid w:val="0400205E"/>
    <w:rsid w:val="041DF0C6"/>
    <w:rsid w:val="04320ED4"/>
    <w:rsid w:val="04558B9D"/>
    <w:rsid w:val="04897212"/>
    <w:rsid w:val="057A4A70"/>
    <w:rsid w:val="0608CCD9"/>
    <w:rsid w:val="06DAE801"/>
    <w:rsid w:val="075ECD39"/>
    <w:rsid w:val="07A664B4"/>
    <w:rsid w:val="07D54948"/>
    <w:rsid w:val="08D5AC7E"/>
    <w:rsid w:val="0911F8DC"/>
    <w:rsid w:val="0916D116"/>
    <w:rsid w:val="09A319AE"/>
    <w:rsid w:val="09FC1026"/>
    <w:rsid w:val="0A865B5E"/>
    <w:rsid w:val="0B7F25F2"/>
    <w:rsid w:val="0BE98BF4"/>
    <w:rsid w:val="0C002C48"/>
    <w:rsid w:val="0C16027D"/>
    <w:rsid w:val="0C83C909"/>
    <w:rsid w:val="0D855C55"/>
    <w:rsid w:val="0DCE6512"/>
    <w:rsid w:val="0DECFF2C"/>
    <w:rsid w:val="0E3247C4"/>
    <w:rsid w:val="0EA94F3E"/>
    <w:rsid w:val="0EC26F77"/>
    <w:rsid w:val="0EC3BC77"/>
    <w:rsid w:val="0EF05B02"/>
    <w:rsid w:val="0F10A024"/>
    <w:rsid w:val="0FAF7B4A"/>
    <w:rsid w:val="10A731CA"/>
    <w:rsid w:val="10B08161"/>
    <w:rsid w:val="10F72311"/>
    <w:rsid w:val="1108D0ED"/>
    <w:rsid w:val="1202F620"/>
    <w:rsid w:val="1233B8B6"/>
    <w:rsid w:val="126CD2CD"/>
    <w:rsid w:val="13459336"/>
    <w:rsid w:val="13A72664"/>
    <w:rsid w:val="1404CF29"/>
    <w:rsid w:val="14301EA8"/>
    <w:rsid w:val="14758DA7"/>
    <w:rsid w:val="1534E2B0"/>
    <w:rsid w:val="15F3380E"/>
    <w:rsid w:val="16E1EDE8"/>
    <w:rsid w:val="16E68921"/>
    <w:rsid w:val="16E954C8"/>
    <w:rsid w:val="17356A95"/>
    <w:rsid w:val="17397AA5"/>
    <w:rsid w:val="177D856A"/>
    <w:rsid w:val="1800BF83"/>
    <w:rsid w:val="1885ABCF"/>
    <w:rsid w:val="1A6DD05C"/>
    <w:rsid w:val="1A815600"/>
    <w:rsid w:val="1BB1204A"/>
    <w:rsid w:val="1C064246"/>
    <w:rsid w:val="1C89EBA7"/>
    <w:rsid w:val="1CFE0030"/>
    <w:rsid w:val="1D8A4548"/>
    <w:rsid w:val="1D8D7227"/>
    <w:rsid w:val="1E1A8F2B"/>
    <w:rsid w:val="1F565DA7"/>
    <w:rsid w:val="1FB65F8C"/>
    <w:rsid w:val="1FC4FF94"/>
    <w:rsid w:val="200BD275"/>
    <w:rsid w:val="201F64D1"/>
    <w:rsid w:val="20BC1429"/>
    <w:rsid w:val="20C782E4"/>
    <w:rsid w:val="21313723"/>
    <w:rsid w:val="2144FE83"/>
    <w:rsid w:val="217898FA"/>
    <w:rsid w:val="21A3DCD8"/>
    <w:rsid w:val="220F9BE6"/>
    <w:rsid w:val="22FF6753"/>
    <w:rsid w:val="239DFB42"/>
    <w:rsid w:val="2520E4AA"/>
    <w:rsid w:val="253C8D53"/>
    <w:rsid w:val="26B514B9"/>
    <w:rsid w:val="27AE2E3F"/>
    <w:rsid w:val="2821751B"/>
    <w:rsid w:val="2882A73C"/>
    <w:rsid w:val="28BAF1C6"/>
    <w:rsid w:val="2931643B"/>
    <w:rsid w:val="2A112E81"/>
    <w:rsid w:val="2A3A5785"/>
    <w:rsid w:val="2A7B98DA"/>
    <w:rsid w:val="2ACFD816"/>
    <w:rsid w:val="2B50825B"/>
    <w:rsid w:val="2B9C0991"/>
    <w:rsid w:val="2BAB0565"/>
    <w:rsid w:val="2BFF9E8B"/>
    <w:rsid w:val="2C389BF5"/>
    <w:rsid w:val="2CB123D4"/>
    <w:rsid w:val="2CDF5E8C"/>
    <w:rsid w:val="2D079CE4"/>
    <w:rsid w:val="2D0FC8B0"/>
    <w:rsid w:val="2D996BDD"/>
    <w:rsid w:val="2D9E6541"/>
    <w:rsid w:val="2DB308BB"/>
    <w:rsid w:val="2DC24FC3"/>
    <w:rsid w:val="2E36F68C"/>
    <w:rsid w:val="2E3C4EED"/>
    <w:rsid w:val="2E719B10"/>
    <w:rsid w:val="2F190066"/>
    <w:rsid w:val="2F30C9B7"/>
    <w:rsid w:val="2F446853"/>
    <w:rsid w:val="300498D8"/>
    <w:rsid w:val="3016D409"/>
    <w:rsid w:val="30CE2410"/>
    <w:rsid w:val="30F2486C"/>
    <w:rsid w:val="31304BCB"/>
    <w:rsid w:val="315DBF95"/>
    <w:rsid w:val="31E2BAD4"/>
    <w:rsid w:val="325CF85C"/>
    <w:rsid w:val="32869F9F"/>
    <w:rsid w:val="32CF2249"/>
    <w:rsid w:val="32E9E735"/>
    <w:rsid w:val="33042418"/>
    <w:rsid w:val="331D4C75"/>
    <w:rsid w:val="334E74CB"/>
    <w:rsid w:val="34362C59"/>
    <w:rsid w:val="34DEDD85"/>
    <w:rsid w:val="34FEF01D"/>
    <w:rsid w:val="350152C4"/>
    <w:rsid w:val="362A8A03"/>
    <w:rsid w:val="3708E8CC"/>
    <w:rsid w:val="3719D536"/>
    <w:rsid w:val="37B3CB67"/>
    <w:rsid w:val="383B0E4B"/>
    <w:rsid w:val="385464C1"/>
    <w:rsid w:val="385ECB0E"/>
    <w:rsid w:val="38AA8357"/>
    <w:rsid w:val="38D250D1"/>
    <w:rsid w:val="39AD5545"/>
    <w:rsid w:val="3ACEF90B"/>
    <w:rsid w:val="3B057F50"/>
    <w:rsid w:val="3B20BAAA"/>
    <w:rsid w:val="3BB9560C"/>
    <w:rsid w:val="3BD6F498"/>
    <w:rsid w:val="3CC18006"/>
    <w:rsid w:val="3CE2DFD3"/>
    <w:rsid w:val="3D4B4A38"/>
    <w:rsid w:val="3EC48E2C"/>
    <w:rsid w:val="3FA6CCA7"/>
    <w:rsid w:val="3FBB4F4A"/>
    <w:rsid w:val="3FEDAEAB"/>
    <w:rsid w:val="40F6BF1D"/>
    <w:rsid w:val="4162E573"/>
    <w:rsid w:val="41979FDE"/>
    <w:rsid w:val="41D5BEBF"/>
    <w:rsid w:val="426C5083"/>
    <w:rsid w:val="429A1A65"/>
    <w:rsid w:val="42AD7CBD"/>
    <w:rsid w:val="42D58392"/>
    <w:rsid w:val="433B3D1D"/>
    <w:rsid w:val="43504AD0"/>
    <w:rsid w:val="43D8B46B"/>
    <w:rsid w:val="44D57BB2"/>
    <w:rsid w:val="45A7DFE7"/>
    <w:rsid w:val="45E311FE"/>
    <w:rsid w:val="47491155"/>
    <w:rsid w:val="48A15C0B"/>
    <w:rsid w:val="49441F6E"/>
    <w:rsid w:val="4977C0BA"/>
    <w:rsid w:val="497AB599"/>
    <w:rsid w:val="4A8956B0"/>
    <w:rsid w:val="4BD3AF5A"/>
    <w:rsid w:val="4D1C308B"/>
    <w:rsid w:val="4D99C96F"/>
    <w:rsid w:val="4E86FBF0"/>
    <w:rsid w:val="4EE5D632"/>
    <w:rsid w:val="4F5A4C9E"/>
    <w:rsid w:val="4FF5EF60"/>
    <w:rsid w:val="4FFFD752"/>
    <w:rsid w:val="50545B4A"/>
    <w:rsid w:val="51DBC4D0"/>
    <w:rsid w:val="5254B611"/>
    <w:rsid w:val="526D3A92"/>
    <w:rsid w:val="530A85C3"/>
    <w:rsid w:val="530B1592"/>
    <w:rsid w:val="5375899D"/>
    <w:rsid w:val="539EF43E"/>
    <w:rsid w:val="53F9CB6B"/>
    <w:rsid w:val="5420FB35"/>
    <w:rsid w:val="545556F5"/>
    <w:rsid w:val="54D42993"/>
    <w:rsid w:val="54F4F0DF"/>
    <w:rsid w:val="5506B6BB"/>
    <w:rsid w:val="555277B8"/>
    <w:rsid w:val="5615BC5D"/>
    <w:rsid w:val="5636B468"/>
    <w:rsid w:val="5712BA0C"/>
    <w:rsid w:val="58789B3B"/>
    <w:rsid w:val="58935A53"/>
    <w:rsid w:val="597FFD19"/>
    <w:rsid w:val="5985C214"/>
    <w:rsid w:val="5A160257"/>
    <w:rsid w:val="5A84B857"/>
    <w:rsid w:val="5AC49879"/>
    <w:rsid w:val="5D56E630"/>
    <w:rsid w:val="5D893CDC"/>
    <w:rsid w:val="5DD24CB3"/>
    <w:rsid w:val="5EC21D8B"/>
    <w:rsid w:val="5F565F24"/>
    <w:rsid w:val="5F9FF722"/>
    <w:rsid w:val="603949E8"/>
    <w:rsid w:val="6195673C"/>
    <w:rsid w:val="61CF872C"/>
    <w:rsid w:val="61DD4C3D"/>
    <w:rsid w:val="62741ED4"/>
    <w:rsid w:val="628D4731"/>
    <w:rsid w:val="62943C0C"/>
    <w:rsid w:val="63B8FDD7"/>
    <w:rsid w:val="63F47CA4"/>
    <w:rsid w:val="640FEF35"/>
    <w:rsid w:val="648BFA25"/>
    <w:rsid w:val="64F9C953"/>
    <w:rsid w:val="65711195"/>
    <w:rsid w:val="65DEAD80"/>
    <w:rsid w:val="664E8548"/>
    <w:rsid w:val="6682AB7D"/>
    <w:rsid w:val="66FC72E5"/>
    <w:rsid w:val="670C8D67"/>
    <w:rsid w:val="6760B854"/>
    <w:rsid w:val="6787C033"/>
    <w:rsid w:val="6793457C"/>
    <w:rsid w:val="67AC477B"/>
    <w:rsid w:val="683B52EA"/>
    <w:rsid w:val="683BF6D5"/>
    <w:rsid w:val="686943AE"/>
    <w:rsid w:val="68D5E6FE"/>
    <w:rsid w:val="69D7234B"/>
    <w:rsid w:val="69DCA4C6"/>
    <w:rsid w:val="6A2BB1A0"/>
    <w:rsid w:val="6A3CCFDE"/>
    <w:rsid w:val="6A3CE663"/>
    <w:rsid w:val="6ADBAC94"/>
    <w:rsid w:val="6B73DFF1"/>
    <w:rsid w:val="6BE96E0F"/>
    <w:rsid w:val="6CBB8975"/>
    <w:rsid w:val="6DA596A4"/>
    <w:rsid w:val="6DD36352"/>
    <w:rsid w:val="6DF652EF"/>
    <w:rsid w:val="6E1A4A8B"/>
    <w:rsid w:val="6F061FF8"/>
    <w:rsid w:val="6FFCD13B"/>
    <w:rsid w:val="70525E98"/>
    <w:rsid w:val="70EE723D"/>
    <w:rsid w:val="71079A9A"/>
    <w:rsid w:val="7170CDD9"/>
    <w:rsid w:val="718D325A"/>
    <w:rsid w:val="72A36AFB"/>
    <w:rsid w:val="72BF923E"/>
    <w:rsid w:val="7317E9E2"/>
    <w:rsid w:val="73B0B1C9"/>
    <w:rsid w:val="73BF2666"/>
    <w:rsid w:val="74AEA58A"/>
    <w:rsid w:val="74C656D9"/>
    <w:rsid w:val="7517DAA3"/>
    <w:rsid w:val="752B10C9"/>
    <w:rsid w:val="754E9829"/>
    <w:rsid w:val="756426A5"/>
    <w:rsid w:val="756DCCCF"/>
    <w:rsid w:val="75F14703"/>
    <w:rsid w:val="7628B980"/>
    <w:rsid w:val="76AC88BD"/>
    <w:rsid w:val="77573A29"/>
    <w:rsid w:val="77D7643D"/>
    <w:rsid w:val="785C7C4C"/>
    <w:rsid w:val="792628A2"/>
    <w:rsid w:val="79B91296"/>
    <w:rsid w:val="7A350DAB"/>
    <w:rsid w:val="7A5FC646"/>
    <w:rsid w:val="7A74D713"/>
    <w:rsid w:val="7B666537"/>
    <w:rsid w:val="7BD36829"/>
    <w:rsid w:val="7BDC5E3F"/>
    <w:rsid w:val="7D0E29CA"/>
    <w:rsid w:val="7D5ED780"/>
    <w:rsid w:val="7E40C204"/>
    <w:rsid w:val="7E9293DC"/>
    <w:rsid w:val="7EA17924"/>
    <w:rsid w:val="7EAF7D61"/>
    <w:rsid w:val="7F0B08EB"/>
    <w:rsid w:val="7F25AB46"/>
    <w:rsid w:val="7F68C5A6"/>
    <w:rsid w:val="7FFA0514"/>
    <w:rsid w:val="7FFB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C1A7"/>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627"/>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71627"/>
    <w:pPr>
      <w:ind w:left="720"/>
      <w:contextualSpacing/>
    </w:pPr>
  </w:style>
  <w:style w:type="character" w:styleId="CommentReference">
    <w:name w:val="annotation reference"/>
    <w:basedOn w:val="DefaultParagraphFont"/>
    <w:uiPriority w:val="99"/>
    <w:semiHidden/>
    <w:unhideWhenUsed/>
    <w:rsid w:val="004F13E2"/>
    <w:rPr>
      <w:sz w:val="16"/>
      <w:szCs w:val="16"/>
    </w:rPr>
  </w:style>
  <w:style w:type="paragraph" w:styleId="CommentText">
    <w:name w:val="annotation text"/>
    <w:basedOn w:val="Normal"/>
    <w:link w:val="CommentTextChar"/>
    <w:uiPriority w:val="99"/>
    <w:semiHidden/>
    <w:unhideWhenUsed/>
    <w:rsid w:val="004F13E2"/>
    <w:pPr>
      <w:spacing w:line="240" w:lineRule="auto"/>
    </w:pPr>
    <w:rPr>
      <w:sz w:val="20"/>
      <w:szCs w:val="20"/>
    </w:rPr>
  </w:style>
  <w:style w:type="character" w:customStyle="1" w:styleId="CommentTextChar">
    <w:name w:val="Comment Text Char"/>
    <w:basedOn w:val="DefaultParagraphFont"/>
    <w:link w:val="CommentText"/>
    <w:uiPriority w:val="99"/>
    <w:semiHidden/>
    <w:rsid w:val="004F13E2"/>
    <w:rPr>
      <w:sz w:val="20"/>
      <w:szCs w:val="20"/>
    </w:rPr>
  </w:style>
  <w:style w:type="paragraph" w:styleId="CommentSubject">
    <w:name w:val="annotation subject"/>
    <w:basedOn w:val="CommentText"/>
    <w:next w:val="CommentText"/>
    <w:link w:val="CommentSubjectChar"/>
    <w:uiPriority w:val="99"/>
    <w:semiHidden/>
    <w:unhideWhenUsed/>
    <w:rsid w:val="004F13E2"/>
    <w:rPr>
      <w:b/>
      <w:bCs/>
    </w:rPr>
  </w:style>
  <w:style w:type="character" w:customStyle="1" w:styleId="CommentSubjectChar">
    <w:name w:val="Comment Subject Char"/>
    <w:basedOn w:val="CommentTextChar"/>
    <w:link w:val="CommentSubject"/>
    <w:uiPriority w:val="99"/>
    <w:semiHidden/>
    <w:rsid w:val="004F13E2"/>
    <w:rPr>
      <w:b/>
      <w:bCs/>
      <w:sz w:val="20"/>
      <w:szCs w:val="20"/>
    </w:rPr>
  </w:style>
  <w:style w:type="paragraph" w:styleId="BalloonText">
    <w:name w:val="Balloon Text"/>
    <w:basedOn w:val="Normal"/>
    <w:link w:val="BalloonTextChar"/>
    <w:uiPriority w:val="99"/>
    <w:semiHidden/>
    <w:unhideWhenUsed/>
    <w:rsid w:val="004F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3E2"/>
    <w:rPr>
      <w:rFonts w:ascii="Tahoma" w:hAnsi="Tahoma" w:cs="Tahoma"/>
      <w:sz w:val="16"/>
      <w:szCs w:val="16"/>
    </w:rPr>
  </w:style>
  <w:style w:type="paragraph" w:styleId="Revision">
    <w:name w:val="Revision"/>
    <w:hidden/>
    <w:uiPriority w:val="99"/>
    <w:semiHidden/>
    <w:rsid w:val="000C54E7"/>
    <w:pPr>
      <w:spacing w:after="0" w:line="240" w:lineRule="auto"/>
    </w:pPr>
  </w:style>
  <w:style w:type="character" w:styleId="FollowedHyperlink">
    <w:name w:val="FollowedHyperlink"/>
    <w:basedOn w:val="DefaultParagraphFont"/>
    <w:uiPriority w:val="99"/>
    <w:semiHidden/>
    <w:unhideWhenUsed/>
    <w:rsid w:val="009C7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latest-press/articles/2020/05/sounding-the-alarm-about-the-rising-risk-of-malnutrition-among-older-people-during-lock-down/" TargetMode="External"/><Relationship Id="rId3" Type="http://schemas.openxmlformats.org/officeDocument/2006/relationships/settings" Target="settings.xml"/><Relationship Id="rId7" Type="http://schemas.openxmlformats.org/officeDocument/2006/relationships/hyperlink" Target="https://www.malnutritionpathway.co.uk/covid19-community-h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lnutritiontaskforce.org.uk/sites/default/files/2019-09/State%20of%20the%20Nation.pdf" TargetMode="External"/><Relationship Id="rId11" Type="http://schemas.openxmlformats.org/officeDocument/2006/relationships/theme" Target="theme/theme1.xml"/><Relationship Id="Rdfe90ad442264253" Type="http://schemas.microsoft.com/office/2019/09/relationships/intelligence" Target="intelligence.xml"/><Relationship Id="rId5" Type="http://schemas.openxmlformats.org/officeDocument/2006/relationships/hyperlink" Target="https://www.patients-association.org.uk/patients-association-nutrition-checklist-toolk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Ps@p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Kanar Ahmed</dc:creator>
  <cp:lastModifiedBy>Stephen Jollie</cp:lastModifiedBy>
  <cp:revision>1</cp:revision>
  <cp:lastPrinted>2022-01-27T08:53:00Z</cp:lastPrinted>
  <dcterms:created xsi:type="dcterms:W3CDTF">2022-05-05T08:27:00Z</dcterms:created>
  <dcterms:modified xsi:type="dcterms:W3CDTF">2022-05-05T08:27:00Z</dcterms:modified>
</cp:coreProperties>
</file>